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360"/>
        <w:jc w:val="center"/>
      </w:pPr>
      <w:r>
        <w:rPr>
          <w:rFonts w:ascii="黑体" w:hAnsi="黑体" w:eastAsia="黑体"/>
          <w:b/>
          <w:sz w:val="36"/>
        </w:rPr>
        <w:t>江苏省宿迁卫生中等专业学校</w:t>
      </w:r>
    </w:p>
    <w:p>
      <w:pPr>
        <w:spacing w:before="120" w:after="360"/>
        <w:jc w:val="center"/>
      </w:pPr>
      <w:r>
        <w:rPr>
          <w:rFonts w:ascii="黑体" w:hAnsi="黑体" w:eastAsia="黑体"/>
          <w:b/>
          <w:sz w:val="36"/>
        </w:rPr>
        <w:t>26级新生体检项目采购需求</w:t>
      </w:r>
    </w:p>
    <w:p>
      <w:pPr>
        <w:spacing w:before="240" w:after="120"/>
        <w:jc w:val="left"/>
      </w:pPr>
      <w:r>
        <w:rPr>
          <w:rFonts w:ascii="黑体" w:hAnsi="黑体" w:eastAsia="黑体"/>
          <w:b/>
          <w:sz w:val="28"/>
        </w:rPr>
        <w:t>一、项目概况</w:t>
      </w:r>
    </w:p>
    <w:p>
      <w:pPr>
        <w:spacing w:after="40" w:line="360" w:lineRule="auto"/>
        <w:ind w:firstLine="480"/>
      </w:pPr>
      <w:r>
        <w:rPr>
          <w:rFonts w:ascii="宋体" w:hAnsi="宋体" w:eastAsia="宋体"/>
          <w:b w:val="0"/>
          <w:sz w:val="24"/>
        </w:rPr>
        <w:t>1. 项目名称：江苏省宿迁卫生中等专业学校26级新生体检服务项目。</w:t>
      </w:r>
    </w:p>
    <w:p>
      <w:pPr>
        <w:spacing w:after="40" w:line="360" w:lineRule="auto"/>
        <w:ind w:firstLine="480"/>
      </w:pPr>
      <w:r>
        <w:rPr>
          <w:rFonts w:ascii="宋体" w:hAnsi="宋体" w:eastAsia="宋体"/>
          <w:b w:val="0"/>
          <w:sz w:val="24"/>
        </w:rPr>
        <w:t>2. 采购单位：江苏省宿迁卫生中等专业学校（以下简称甲方）。</w:t>
      </w:r>
    </w:p>
    <w:p>
      <w:pPr>
        <w:spacing w:after="40" w:line="360" w:lineRule="auto"/>
        <w:ind w:firstLine="480"/>
        <w:rPr>
          <w:rFonts w:ascii="宋体" w:hAnsi="宋体" w:eastAsia="宋体"/>
          <w:b w:val="0"/>
          <w:sz w:val="24"/>
        </w:rPr>
      </w:pPr>
      <w:r>
        <w:rPr>
          <w:rFonts w:ascii="宋体" w:hAnsi="宋体" w:eastAsia="宋体"/>
          <w:b w:val="0"/>
          <w:sz w:val="24"/>
        </w:rPr>
        <w:t>3. 项目预算：人民币39500元（含税总价，预算标准50元/人，预计参检学生790人，实际结算人数以实际参检学生数量为准）。</w:t>
      </w:r>
    </w:p>
    <w:p>
      <w:pPr>
        <w:spacing w:after="40" w:line="360" w:lineRule="auto"/>
        <w:ind w:firstLine="480"/>
      </w:pPr>
      <w:bookmarkStart w:id="0" w:name="_GoBack"/>
      <w:bookmarkEnd w:id="0"/>
      <w:r>
        <w:rPr>
          <w:rFonts w:ascii="宋体" w:hAnsi="宋体" w:eastAsia="宋体"/>
          <w:b w:val="0"/>
          <w:sz w:val="24"/>
        </w:rPr>
        <w:t>4. 服务对象：我校26级入学新生。</w:t>
      </w:r>
    </w:p>
    <w:p>
      <w:pPr>
        <w:spacing w:after="40" w:line="360" w:lineRule="auto"/>
        <w:ind w:firstLine="480"/>
      </w:pPr>
      <w:r>
        <w:rPr>
          <w:rFonts w:ascii="宋体" w:hAnsi="宋体" w:eastAsia="宋体"/>
          <w:b w:val="0"/>
          <w:sz w:val="24"/>
        </w:rPr>
        <w:t>5. 体检项目：问诊、形体指标检查、内科、外科、眼科、五官科、结核菌素试验、血常规、透视，共9项。</w:t>
      </w:r>
    </w:p>
    <w:p>
      <w:pPr>
        <w:spacing w:before="160" w:after="80"/>
        <w:jc w:val="left"/>
      </w:pPr>
      <w:r>
        <w:rPr>
          <w:rFonts w:ascii="黑体" w:hAnsi="黑体" w:eastAsia="黑体"/>
          <w:b/>
          <w:sz w:val="24"/>
        </w:rPr>
        <w:t>6. 体检项目及预算清单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9"/>
        <w:gridCol w:w="1729"/>
        <w:gridCol w:w="1729"/>
        <w:gridCol w:w="1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shd w:val="clear" w:color="auto" w:fill="D9E2F3"/>
          </w:tcPr>
          <w:p>
            <w:pPr>
              <w:spacing w:after="0" w:line="240" w:lineRule="auto"/>
              <w:jc w:val="center"/>
            </w:pPr>
            <w:r>
              <w:rPr>
                <w:rFonts w:ascii="黑体" w:hAnsi="黑体" w:eastAsia="黑体"/>
                <w:b/>
                <w:sz w:val="22"/>
              </w:rPr>
              <w:t>序号</w:t>
            </w:r>
          </w:p>
        </w:tc>
        <w:tc>
          <w:tcPr>
            <w:tcW w:w="1729" w:type="dxa"/>
            <w:shd w:val="clear" w:color="auto" w:fill="D9E2F3"/>
          </w:tcPr>
          <w:p>
            <w:pPr>
              <w:spacing w:after="0" w:line="240" w:lineRule="auto"/>
              <w:jc w:val="center"/>
            </w:pPr>
            <w:r>
              <w:rPr>
                <w:rFonts w:ascii="黑体" w:hAnsi="黑体" w:eastAsia="黑体"/>
                <w:b/>
                <w:sz w:val="22"/>
              </w:rPr>
              <w:t>科目</w:t>
            </w:r>
          </w:p>
        </w:tc>
        <w:tc>
          <w:tcPr>
            <w:tcW w:w="1729" w:type="dxa"/>
            <w:shd w:val="clear" w:color="auto" w:fill="D9E2F3"/>
          </w:tcPr>
          <w:p>
            <w:pPr>
              <w:spacing w:after="0" w:line="240" w:lineRule="auto"/>
              <w:jc w:val="center"/>
            </w:pPr>
            <w:r>
              <w:rPr>
                <w:rFonts w:ascii="黑体" w:hAnsi="黑体" w:eastAsia="黑体"/>
                <w:b/>
                <w:sz w:val="22"/>
              </w:rPr>
              <w:t>单价（元/人）</w:t>
            </w:r>
          </w:p>
        </w:tc>
        <w:tc>
          <w:tcPr>
            <w:tcW w:w="1729" w:type="dxa"/>
            <w:shd w:val="clear" w:color="auto" w:fill="D9E2F3"/>
          </w:tcPr>
          <w:p>
            <w:pPr>
              <w:spacing w:after="0" w:line="240" w:lineRule="auto"/>
              <w:jc w:val="center"/>
            </w:pPr>
            <w:r>
              <w:rPr>
                <w:rFonts w:ascii="黑体" w:hAnsi="黑体" w:eastAsia="黑体"/>
                <w:b/>
                <w:sz w:val="22"/>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1</w:t>
            </w:r>
          </w:p>
        </w:tc>
        <w:tc>
          <w:tcPr>
            <w:tcW w:w="1729" w:type="dxa"/>
          </w:tcPr>
          <w:p>
            <w:pPr>
              <w:spacing w:after="0" w:line="240" w:lineRule="auto"/>
              <w:jc w:val="center"/>
            </w:pPr>
            <w:r>
              <w:rPr>
                <w:rFonts w:ascii="宋体" w:hAnsi="宋体" w:eastAsia="宋体"/>
                <w:b w:val="0"/>
                <w:sz w:val="22"/>
              </w:rPr>
              <w:t>问诊</w:t>
            </w:r>
          </w:p>
        </w:tc>
        <w:tc>
          <w:tcPr>
            <w:tcW w:w="1729" w:type="dxa"/>
            <w:vMerge w:val="restart"/>
          </w:tcPr>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r>
              <w:rPr>
                <w:rFonts w:ascii="宋体" w:hAnsi="宋体" w:eastAsia="宋体"/>
                <w:b w:val="0"/>
                <w:sz w:val="22"/>
              </w:rPr>
              <w:t>50</w:t>
            </w:r>
          </w:p>
          <w:p>
            <w:pPr>
              <w:spacing w:after="0" w:line="240" w:lineRule="auto"/>
              <w:jc w:val="center"/>
            </w:pPr>
          </w:p>
        </w:tc>
        <w:tc>
          <w:tcPr>
            <w:tcW w:w="1729" w:type="dxa"/>
            <w:vMerge w:val="restart"/>
          </w:tcPr>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p>
          <w:p>
            <w:pPr>
              <w:spacing w:after="0" w:line="240" w:lineRule="auto"/>
              <w:jc w:val="center"/>
              <w:rPr>
                <w:rFonts w:ascii="宋体" w:hAnsi="宋体" w:eastAsia="宋体"/>
                <w:b w:val="0"/>
                <w:sz w:val="22"/>
              </w:rPr>
            </w:pPr>
            <w:r>
              <w:rPr>
                <w:rFonts w:ascii="宋体" w:hAnsi="宋体" w:eastAsia="宋体"/>
                <w:b w:val="0"/>
                <w:sz w:val="22"/>
              </w:rPr>
              <w:t>39500</w:t>
            </w:r>
          </w:p>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2</w:t>
            </w:r>
          </w:p>
        </w:tc>
        <w:tc>
          <w:tcPr>
            <w:tcW w:w="1729" w:type="dxa"/>
          </w:tcPr>
          <w:p>
            <w:pPr>
              <w:spacing w:after="0" w:line="240" w:lineRule="auto"/>
              <w:jc w:val="center"/>
            </w:pPr>
            <w:r>
              <w:rPr>
                <w:rFonts w:ascii="宋体" w:hAnsi="宋体" w:eastAsia="宋体"/>
                <w:b w:val="0"/>
                <w:sz w:val="22"/>
              </w:rPr>
              <w:t>形体指标检查</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3</w:t>
            </w:r>
          </w:p>
        </w:tc>
        <w:tc>
          <w:tcPr>
            <w:tcW w:w="1729" w:type="dxa"/>
          </w:tcPr>
          <w:p>
            <w:pPr>
              <w:spacing w:after="0" w:line="240" w:lineRule="auto"/>
              <w:jc w:val="center"/>
            </w:pPr>
            <w:r>
              <w:rPr>
                <w:rFonts w:ascii="宋体" w:hAnsi="宋体" w:eastAsia="宋体"/>
                <w:b w:val="0"/>
                <w:sz w:val="22"/>
              </w:rPr>
              <w:t>内科</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4</w:t>
            </w:r>
          </w:p>
        </w:tc>
        <w:tc>
          <w:tcPr>
            <w:tcW w:w="1729" w:type="dxa"/>
          </w:tcPr>
          <w:p>
            <w:pPr>
              <w:spacing w:after="0" w:line="240" w:lineRule="auto"/>
              <w:jc w:val="center"/>
            </w:pPr>
            <w:r>
              <w:rPr>
                <w:rFonts w:ascii="宋体" w:hAnsi="宋体" w:eastAsia="宋体"/>
                <w:b w:val="0"/>
                <w:sz w:val="22"/>
              </w:rPr>
              <w:t>外科</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5</w:t>
            </w:r>
          </w:p>
        </w:tc>
        <w:tc>
          <w:tcPr>
            <w:tcW w:w="1729" w:type="dxa"/>
          </w:tcPr>
          <w:p>
            <w:pPr>
              <w:spacing w:after="0" w:line="240" w:lineRule="auto"/>
              <w:jc w:val="center"/>
            </w:pPr>
            <w:r>
              <w:rPr>
                <w:rFonts w:ascii="宋体" w:hAnsi="宋体" w:eastAsia="宋体"/>
                <w:b w:val="0"/>
                <w:sz w:val="22"/>
              </w:rPr>
              <w:t>眼科</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6</w:t>
            </w:r>
          </w:p>
        </w:tc>
        <w:tc>
          <w:tcPr>
            <w:tcW w:w="1729" w:type="dxa"/>
          </w:tcPr>
          <w:p>
            <w:pPr>
              <w:spacing w:after="0" w:line="240" w:lineRule="auto"/>
              <w:jc w:val="center"/>
            </w:pPr>
            <w:r>
              <w:rPr>
                <w:rFonts w:ascii="宋体" w:hAnsi="宋体" w:eastAsia="宋体"/>
                <w:b w:val="0"/>
                <w:sz w:val="22"/>
              </w:rPr>
              <w:t>五官科</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7</w:t>
            </w:r>
          </w:p>
        </w:tc>
        <w:tc>
          <w:tcPr>
            <w:tcW w:w="1729" w:type="dxa"/>
          </w:tcPr>
          <w:p>
            <w:pPr>
              <w:spacing w:after="0" w:line="240" w:lineRule="auto"/>
              <w:jc w:val="center"/>
            </w:pPr>
            <w:r>
              <w:rPr>
                <w:rFonts w:ascii="宋体" w:hAnsi="宋体" w:eastAsia="宋体"/>
                <w:b w:val="0"/>
                <w:sz w:val="22"/>
              </w:rPr>
              <w:t>结核菌素试验</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8</w:t>
            </w:r>
          </w:p>
        </w:tc>
        <w:tc>
          <w:tcPr>
            <w:tcW w:w="1729" w:type="dxa"/>
          </w:tcPr>
          <w:p>
            <w:pPr>
              <w:spacing w:after="0" w:line="240" w:lineRule="auto"/>
              <w:jc w:val="center"/>
            </w:pPr>
            <w:r>
              <w:rPr>
                <w:rFonts w:ascii="宋体" w:hAnsi="宋体" w:eastAsia="宋体"/>
                <w:b w:val="0"/>
                <w:sz w:val="22"/>
              </w:rPr>
              <w:t>血常规</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29" w:type="dxa"/>
          </w:tcPr>
          <w:p>
            <w:pPr>
              <w:spacing w:after="0" w:line="240" w:lineRule="auto"/>
              <w:jc w:val="center"/>
            </w:pPr>
            <w:r>
              <w:rPr>
                <w:rFonts w:ascii="宋体" w:hAnsi="宋体" w:eastAsia="宋体"/>
                <w:b w:val="0"/>
                <w:sz w:val="22"/>
              </w:rPr>
              <w:t>9</w:t>
            </w:r>
          </w:p>
        </w:tc>
        <w:tc>
          <w:tcPr>
            <w:tcW w:w="1729" w:type="dxa"/>
          </w:tcPr>
          <w:p>
            <w:pPr>
              <w:spacing w:after="0" w:line="240" w:lineRule="auto"/>
              <w:jc w:val="center"/>
            </w:pPr>
            <w:r>
              <w:rPr>
                <w:rFonts w:ascii="宋体" w:hAnsi="宋体" w:eastAsia="宋体"/>
                <w:b w:val="0"/>
                <w:sz w:val="22"/>
              </w:rPr>
              <w:t>透视</w:t>
            </w:r>
          </w:p>
        </w:tc>
        <w:tc>
          <w:tcPr>
            <w:tcW w:w="1729" w:type="dxa"/>
            <w:vMerge w:val="continue"/>
            <w:tcBorders/>
          </w:tcPr>
          <w:p>
            <w:pPr>
              <w:spacing w:after="0" w:line="240" w:lineRule="auto"/>
              <w:jc w:val="center"/>
            </w:pPr>
          </w:p>
        </w:tc>
        <w:tc>
          <w:tcPr>
            <w:tcW w:w="1729" w:type="dxa"/>
            <w:vMerge w:val="continue"/>
            <w:tcBorders/>
          </w:tcPr>
          <w:p>
            <w:pPr>
              <w:spacing w:after="0" w:line="240" w:lineRule="auto"/>
              <w:jc w:val="center"/>
            </w:pPr>
          </w:p>
        </w:tc>
      </w:tr>
    </w:tbl>
    <w:p/>
    <w:p>
      <w:pPr>
        <w:spacing w:before="240" w:after="120"/>
        <w:jc w:val="left"/>
      </w:pPr>
      <w:r>
        <w:rPr>
          <w:rFonts w:ascii="黑体" w:hAnsi="黑体" w:eastAsia="黑体"/>
          <w:b/>
          <w:sz w:val="28"/>
        </w:rPr>
        <w:t>二、技术和服务要求</w:t>
      </w:r>
    </w:p>
    <w:p>
      <w:pPr>
        <w:spacing w:before="160" w:after="80"/>
        <w:jc w:val="left"/>
      </w:pPr>
      <w:r>
        <w:rPr>
          <w:rFonts w:ascii="黑体" w:hAnsi="黑体" w:eastAsia="黑体"/>
          <w:b/>
          <w:sz w:val="24"/>
        </w:rPr>
        <w:t>（一）人员要求</w:t>
      </w:r>
    </w:p>
    <w:p>
      <w:pPr>
        <w:spacing w:after="40" w:line="360" w:lineRule="auto"/>
        <w:ind w:firstLine="480"/>
      </w:pPr>
      <w:r>
        <w:rPr>
          <w:rFonts w:ascii="宋体" w:hAnsi="宋体" w:eastAsia="宋体"/>
          <w:b w:val="0"/>
          <w:sz w:val="24"/>
        </w:rPr>
        <w:t>1. 体检岗位设置合理，规章制度完善，岗位职责明确。</w:t>
      </w:r>
    </w:p>
    <w:p>
      <w:pPr>
        <w:spacing w:after="40" w:line="360" w:lineRule="auto"/>
        <w:ind w:firstLine="480"/>
      </w:pPr>
      <w:r>
        <w:rPr>
          <w:rFonts w:ascii="宋体" w:hAnsi="宋体" w:eastAsia="宋体"/>
          <w:b w:val="0"/>
          <w:sz w:val="24"/>
        </w:rPr>
        <w:t>2. 有足够的与学生健康体检项目相适应的管理、技术、质量控制和统计人员；按体检项目确定从事健康体检的人员数量，每个体检项目不得少于1人。</w:t>
      </w:r>
    </w:p>
    <w:p>
      <w:pPr>
        <w:spacing w:after="40" w:line="360" w:lineRule="auto"/>
        <w:ind w:firstLine="480"/>
      </w:pPr>
      <w:r>
        <w:rPr>
          <w:rFonts w:ascii="宋体" w:hAnsi="宋体" w:eastAsia="宋体"/>
          <w:b w:val="0"/>
          <w:sz w:val="24"/>
        </w:rPr>
        <w:t>3. 专业技术负责人应当熟悉本专业业务，技术人员的专业与学生健康体检项目相符合，具有与学生健康体检工作和常见病防治相关的知识和技能。</w:t>
      </w:r>
    </w:p>
    <w:p>
      <w:pPr>
        <w:spacing w:after="40" w:line="360" w:lineRule="auto"/>
        <w:ind w:firstLine="480"/>
      </w:pPr>
      <w:r>
        <w:rPr>
          <w:rFonts w:ascii="宋体" w:hAnsi="宋体" w:eastAsia="宋体"/>
          <w:b w:val="0"/>
          <w:sz w:val="24"/>
        </w:rPr>
        <w:t>4. 内科、外科、耳鼻喉科、眼科、口腔科检查及实验室检验的人员必须具有相应的专业技术职务任职资格；各专业体检医师至少有1人具有中级以上专业技术职务任职资格。</w:t>
      </w:r>
    </w:p>
    <w:p>
      <w:pPr>
        <w:spacing w:after="40" w:line="360" w:lineRule="auto"/>
        <w:ind w:firstLine="480"/>
      </w:pPr>
      <w:r>
        <w:rPr>
          <w:rFonts w:ascii="宋体" w:hAnsi="宋体" w:eastAsia="宋体"/>
          <w:b w:val="0"/>
          <w:sz w:val="24"/>
        </w:rPr>
        <w:t>5. 健康体检机构应当指定医师审核签署健康体检报告单。负责审核健康体检报告单的医师应当具有内科或外科副主任医师及以上专业技术职务任职资格。</w:t>
      </w:r>
    </w:p>
    <w:p>
      <w:pPr>
        <w:spacing w:after="40" w:line="360" w:lineRule="auto"/>
        <w:ind w:firstLine="480"/>
      </w:pPr>
      <w:r>
        <w:rPr>
          <w:rFonts w:ascii="宋体" w:hAnsi="宋体" w:eastAsia="宋体"/>
          <w:b w:val="0"/>
          <w:sz w:val="24"/>
        </w:rPr>
        <w:t>6. 健康体检各类人员均应接受县级以上地方人民政府卫生健康行政部门组织的岗前培训，统一体检标准。</w:t>
      </w:r>
    </w:p>
    <w:p>
      <w:pPr>
        <w:spacing w:before="160" w:after="80"/>
        <w:jc w:val="left"/>
      </w:pPr>
      <w:r>
        <w:rPr>
          <w:rFonts w:ascii="黑体" w:hAnsi="黑体" w:eastAsia="黑体"/>
          <w:b/>
          <w:sz w:val="24"/>
        </w:rPr>
        <w:t>（二）场所设置基本要求</w:t>
      </w:r>
    </w:p>
    <w:p>
      <w:pPr>
        <w:spacing w:after="40" w:line="360" w:lineRule="auto"/>
        <w:ind w:firstLine="480"/>
      </w:pPr>
      <w:r>
        <w:rPr>
          <w:rFonts w:ascii="宋体" w:hAnsi="宋体" w:eastAsia="宋体"/>
          <w:b w:val="0"/>
          <w:sz w:val="24"/>
        </w:rPr>
        <w:t>体检采取入校体检方式。学生体检的场所设置在甲方校内，由甲方配合提供体检场所。体检机构应按照《医疗机构消毒技术规范》要求进行消毒处理，符合《医院消毒卫生标准》（GB15982）中Ⅲ类环境的消毒卫生标准，保证卫生安全。医疗废物处理应当符合《医疗废物管理条例》规定。生物样本的采集和留存应当符合国家有关标准规定和相关检验技术规范要求；生物样本的运输应当按照国家相关规定执行。应当符合《健康体检管理暂行规定》中关于外出健康体检的有关要求。</w:t>
      </w:r>
    </w:p>
    <w:p>
      <w:pPr>
        <w:spacing w:before="160" w:after="80"/>
        <w:jc w:val="left"/>
      </w:pPr>
      <w:r>
        <w:rPr>
          <w:rFonts w:ascii="黑体" w:hAnsi="黑体" w:eastAsia="黑体"/>
          <w:b/>
          <w:sz w:val="24"/>
        </w:rPr>
        <w:t>（三）仪器设备</w:t>
      </w:r>
    </w:p>
    <w:p>
      <w:pPr>
        <w:spacing w:after="40" w:line="360" w:lineRule="auto"/>
        <w:ind w:firstLine="480"/>
      </w:pPr>
      <w:r>
        <w:rPr>
          <w:rFonts w:ascii="宋体" w:hAnsi="宋体" w:eastAsia="宋体"/>
          <w:b w:val="0"/>
          <w:sz w:val="24"/>
        </w:rPr>
        <w:t>学生健康体检所需的医疗检查设备与检验仪器的种类、数量、性能、量程、精度能满足工作需要，并能良好运行，定期校验；仪器设备有完整的操作规程。</w:t>
      </w:r>
    </w:p>
    <w:p>
      <w:pPr>
        <w:spacing w:after="40" w:line="360" w:lineRule="auto"/>
        <w:ind w:firstLine="480"/>
      </w:pPr>
      <w:r>
        <w:rPr>
          <w:rFonts w:ascii="宋体" w:hAnsi="宋体" w:eastAsia="宋体"/>
          <w:b w:val="0"/>
          <w:sz w:val="24"/>
        </w:rPr>
        <w:t>必备设备清单：（1）听诊器；（2）血压计；（3）身高计；（4）体重秤；（5）皮尺；（6）标准对数视力表灯箱；（7）验光仪（无验光仪地区可采用串镜）；（8）耳鼻喉科器械（额镜、检耳镜、鼻前镜、压舌板）；（9）口腔科器械（平面口镜、五号探针，牙周探针）；（10）诊查床；（11）与健康体检项目相应的其他设备（如躯干旋转测量仪、血红蛋白仪等根据要求进行准备）。</w:t>
      </w:r>
    </w:p>
    <w:p>
      <w:pPr>
        <w:spacing w:after="40" w:line="360" w:lineRule="auto"/>
        <w:ind w:firstLine="480"/>
      </w:pPr>
      <w:r>
        <w:rPr>
          <w:rFonts w:ascii="宋体" w:hAnsi="宋体" w:eastAsia="宋体"/>
          <w:b w:val="0"/>
          <w:sz w:val="24"/>
        </w:rPr>
        <w:t>体检器具的消毒应符合《医院消毒卫生标准》（GB15982）中的医疗用品卫生标准的规定。</w:t>
      </w:r>
    </w:p>
    <w:p>
      <w:pPr>
        <w:spacing w:before="160" w:after="80"/>
        <w:jc w:val="left"/>
      </w:pPr>
      <w:r>
        <w:rPr>
          <w:rFonts w:ascii="黑体" w:hAnsi="黑体" w:eastAsia="黑体"/>
          <w:b/>
          <w:sz w:val="24"/>
        </w:rPr>
        <w:t>（四）其他服务要求</w:t>
      </w:r>
    </w:p>
    <w:p>
      <w:pPr>
        <w:spacing w:after="40" w:line="360" w:lineRule="auto"/>
        <w:ind w:firstLine="480"/>
      </w:pPr>
      <w:r>
        <w:rPr>
          <w:rFonts w:ascii="宋体" w:hAnsi="宋体" w:eastAsia="宋体"/>
          <w:b w:val="0"/>
          <w:sz w:val="24"/>
        </w:rPr>
        <w:t>1. 体检工作人员提前到现场做好各项准备工作（如检查、校正仪器等）；检测时严肃认真，操作规范，确保检测质量，对数据弄虚作假行为一经发现将进行严肃处理、追究责任；体检工作人员对待受检者应耐心、和蔼，遇到问题时要细致工作；团结互助、密切配合，共同完成任务。</w:t>
      </w:r>
    </w:p>
    <w:p>
      <w:pPr>
        <w:spacing w:after="40" w:line="360" w:lineRule="auto"/>
        <w:ind w:firstLine="480"/>
      </w:pPr>
      <w:r>
        <w:rPr>
          <w:rFonts w:ascii="宋体" w:hAnsi="宋体" w:eastAsia="宋体"/>
          <w:b w:val="0"/>
          <w:sz w:val="24"/>
        </w:rPr>
        <w:t>2. 健康体检机构在学生及其监护人知情同意的前提下，以个体报告单形式向学校反馈学生个体健康体检结果。健康体检机构分别以学校汇总报告单、区域学校汇总报告单形式向学校和区域教育行政部门反馈学生健康体检结果。</w:t>
      </w:r>
    </w:p>
    <w:p>
      <w:pPr>
        <w:spacing w:after="40" w:line="360" w:lineRule="auto"/>
        <w:ind w:firstLine="480"/>
      </w:pPr>
      <w:r>
        <w:rPr>
          <w:rFonts w:ascii="宋体" w:hAnsi="宋体" w:eastAsia="宋体"/>
          <w:b w:val="0"/>
          <w:sz w:val="24"/>
        </w:rPr>
        <w:t>3. 个体报告单内容应当包括学生个体体检项目的客观结果、对体检结果的综合评价以及健康指导建议，超重、肥胖、营养不良、脊柱弯曲异常、视力不良、龋齿须作为指导的重点。</w:t>
      </w:r>
    </w:p>
    <w:p>
      <w:pPr>
        <w:spacing w:after="40" w:line="360" w:lineRule="auto"/>
        <w:ind w:firstLine="480"/>
      </w:pPr>
      <w:r>
        <w:rPr>
          <w:rFonts w:ascii="宋体" w:hAnsi="宋体" w:eastAsia="宋体"/>
          <w:b w:val="0"/>
          <w:sz w:val="24"/>
        </w:rPr>
        <w:t>4. 学校汇总报告单内容应当包括学校男女生的生长发育水平，营养状况分布，脊柱弯曲异常、视力不良、龋齿、缺陷检出率，存在的主要健康问题以及健康指导建议。</w:t>
      </w:r>
    </w:p>
    <w:p>
      <w:pPr>
        <w:spacing w:after="40" w:line="360" w:lineRule="auto"/>
        <w:ind w:firstLine="480"/>
      </w:pPr>
      <w:r>
        <w:rPr>
          <w:rFonts w:ascii="宋体" w:hAnsi="宋体" w:eastAsia="宋体"/>
          <w:b w:val="0"/>
          <w:sz w:val="24"/>
        </w:rPr>
        <w:t>5. 区域学校汇总报告单内容应当包括所检查学校学生的总体健康状况分析，包括生长发育、营养状况的分布、视力不良、龋齿检出率、缺陷检出率以及健康指导建议。</w:t>
      </w:r>
    </w:p>
    <w:p>
      <w:pPr>
        <w:spacing w:after="40" w:line="360" w:lineRule="auto"/>
        <w:ind w:firstLine="480"/>
      </w:pPr>
      <w:r>
        <w:rPr>
          <w:rFonts w:ascii="宋体" w:hAnsi="宋体" w:eastAsia="宋体"/>
          <w:b w:val="0"/>
          <w:sz w:val="24"/>
        </w:rPr>
        <w:t>6. 报告交付时限：个体报告单应当于体检结束后2周内反馈；学校汇总报告单应当于体检结束后1个月内反馈；区域学校汇总报告单应当于体检结束后2个月内反馈。</w:t>
      </w:r>
    </w:p>
    <w:p>
      <w:pPr>
        <w:spacing w:after="40" w:line="360" w:lineRule="auto"/>
        <w:ind w:firstLine="480"/>
      </w:pPr>
      <w:r>
        <w:rPr>
          <w:rFonts w:ascii="宋体" w:hAnsi="宋体" w:eastAsia="宋体"/>
          <w:b w:val="0"/>
          <w:sz w:val="24"/>
        </w:rPr>
        <w:t>7. 健康体检机构配合各地教育部门、各中小学校应按照《宿迁市中小学生健康档案卡（2024年版）》，为26级新生建立健康档案。此后，在获得学生健康体检机构汇总报告单后1个月内完成档案信息更新工作。</w:t>
      </w:r>
    </w:p>
    <w:p>
      <w:pPr>
        <w:spacing w:after="40" w:line="360" w:lineRule="auto"/>
        <w:ind w:firstLine="480"/>
      </w:pPr>
      <w:r>
        <w:rPr>
          <w:rFonts w:ascii="宋体" w:hAnsi="宋体" w:eastAsia="宋体"/>
          <w:b w:val="0"/>
          <w:sz w:val="24"/>
        </w:rPr>
        <w:t>8. 体检工作应贯彻落实《宿迁市中小学生健康体检管理办法》（宿教发〔2022〕41号）。</w:t>
      </w:r>
    </w:p>
    <w:p>
      <w:pPr>
        <w:spacing w:after="40" w:line="360" w:lineRule="auto"/>
        <w:ind w:firstLine="480"/>
      </w:pPr>
      <w:r>
        <w:rPr>
          <w:rFonts w:ascii="宋体" w:hAnsi="宋体" w:eastAsia="宋体"/>
          <w:b w:val="0"/>
          <w:sz w:val="24"/>
        </w:rPr>
        <w:t>9. 体检项目须符合本采购需求技术要求，且以满足项目验收为准，项目服务须满足采购需求。</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0030101010101"/>
    <w:charset w:val="86"/>
    <w:family w:val="auto"/>
    <w:pitch w:val="default"/>
    <w:sig w:usb0="00000001" w:usb1="080E0000" w:usb2="00000000" w:usb3="00000000" w:csb0="00040000"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 w:name="ＭＳ ゴシック">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F7C21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qFormat="1"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人生若只如初见</cp:lastModifiedBy>
  <dcterms:modified xsi:type="dcterms:W3CDTF">2026-08-25T10:25:49Z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21862ABAE9BC17DF2DFD8C6A218C974A_42</vt:lpwstr>
  </property>
</Properties>
</file>