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4C0F2">
      <w:pPr>
        <w:spacing w:before="0" w:after="40" w:line="312" w:lineRule="auto"/>
        <w:jc w:val="center"/>
      </w:pPr>
      <w:r>
        <w:rPr>
          <w:rFonts w:ascii="Times New Roman" w:hAnsi="Times New Roman" w:eastAsia="黑体"/>
          <w:b/>
          <w:sz w:val="32"/>
        </w:rPr>
        <w:t>宿迁卫校高压配电设施运行维保项目</w:t>
      </w:r>
    </w:p>
    <w:p w14:paraId="2FAA9267">
      <w:pPr>
        <w:spacing w:before="0" w:after="40" w:line="312" w:lineRule="auto"/>
        <w:jc w:val="center"/>
      </w:pPr>
      <w:r>
        <w:rPr>
          <w:rFonts w:ascii="Times New Roman" w:hAnsi="Times New Roman" w:eastAsia="黑体"/>
          <w:b/>
          <w:sz w:val="28"/>
        </w:rPr>
        <w:t>采购需求（综合）</w:t>
      </w:r>
    </w:p>
    <w:p w14:paraId="3B0FC72C">
      <w:pPr>
        <w:spacing w:before="0" w:after="160" w:line="312" w:lineRule="auto"/>
      </w:pPr>
      <w:r>
        <w:rPr>
          <w:rFonts w:ascii="Times New Roman" w:hAnsi="Times New Roman" w:eastAsia="仿宋"/>
          <w:b w:val="0"/>
          <w:sz w:val="18"/>
        </w:rPr>
        <w:t>说明：本文件将原“用电设施运行维保”和“安全工器具检测及采购”两项需求合并为单一综合项目，并补充历史维护协议中的双方责任、费用支付、材料费用承担、安全责任和争议解决等条款，作为采购文件编制和发布的基础。</w:t>
      </w:r>
    </w:p>
    <w:p w14:paraId="03234AB6">
      <w:pPr>
        <w:keepNext/>
        <w:spacing w:before="200" w:after="100"/>
      </w:pPr>
      <w:r>
        <w:rPr>
          <w:rFonts w:ascii="Times New Roman" w:hAnsi="Times New Roman" w:eastAsia="黑体"/>
          <w:b/>
          <w:sz w:val="26"/>
        </w:rPr>
        <w:t>一、项目概况</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7370"/>
      </w:tblGrid>
      <w:tr w14:paraId="28EE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D9D9D9"/>
          </w:tcPr>
          <w:p w14:paraId="79F10C11">
            <w:pPr>
              <w:spacing w:after="0" w:line="240" w:lineRule="auto"/>
              <w:jc w:val="center"/>
            </w:pPr>
            <w:r>
              <w:rPr>
                <w:rFonts w:ascii="Times New Roman" w:hAnsi="Times New Roman" w:eastAsia="黑体"/>
                <w:b/>
                <w:sz w:val="18"/>
              </w:rPr>
              <w:t>项目</w:t>
            </w:r>
          </w:p>
        </w:tc>
        <w:tc>
          <w:tcPr>
            <w:tcW w:w="7370" w:type="dxa"/>
            <w:shd w:val="clear" w:color="auto" w:fill="D9D9D9"/>
          </w:tcPr>
          <w:p w14:paraId="323BDEEB">
            <w:pPr>
              <w:spacing w:after="0" w:line="240" w:lineRule="auto"/>
              <w:jc w:val="center"/>
            </w:pPr>
            <w:r>
              <w:rPr>
                <w:rFonts w:ascii="Times New Roman" w:hAnsi="Times New Roman" w:eastAsia="黑体"/>
                <w:b/>
                <w:sz w:val="18"/>
              </w:rPr>
              <w:t>内容</w:t>
            </w:r>
          </w:p>
        </w:tc>
      </w:tr>
      <w:tr w14:paraId="1A7A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37B4CD05">
            <w:pPr>
              <w:spacing w:after="0" w:line="276" w:lineRule="auto"/>
            </w:pPr>
            <w:r>
              <w:rPr>
                <w:rFonts w:ascii="Times New Roman" w:hAnsi="Times New Roman" w:eastAsia="仿宋"/>
                <w:b w:val="0"/>
                <w:sz w:val="18"/>
              </w:rPr>
              <w:t>项目名称</w:t>
            </w:r>
          </w:p>
        </w:tc>
        <w:tc>
          <w:tcPr>
            <w:tcW w:w="7370" w:type="dxa"/>
          </w:tcPr>
          <w:p w14:paraId="6FC72120">
            <w:pPr>
              <w:spacing w:after="0" w:line="276" w:lineRule="auto"/>
            </w:pPr>
            <w:r>
              <w:rPr>
                <w:rFonts w:ascii="Times New Roman" w:hAnsi="Times New Roman" w:eastAsia="仿宋"/>
                <w:b w:val="0"/>
                <w:sz w:val="18"/>
              </w:rPr>
              <w:t>宿迁卫校高压配电设施运行维保及安全工器具检测采购项目</w:t>
            </w:r>
          </w:p>
        </w:tc>
      </w:tr>
      <w:tr w14:paraId="687E1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638DE9E8">
            <w:pPr>
              <w:spacing w:after="0" w:line="276" w:lineRule="auto"/>
            </w:pPr>
            <w:r>
              <w:rPr>
                <w:rFonts w:ascii="Times New Roman" w:hAnsi="Times New Roman" w:eastAsia="仿宋"/>
                <w:b w:val="0"/>
                <w:sz w:val="18"/>
              </w:rPr>
              <w:t>采购人</w:t>
            </w:r>
          </w:p>
        </w:tc>
        <w:tc>
          <w:tcPr>
            <w:tcW w:w="7370" w:type="dxa"/>
          </w:tcPr>
          <w:p w14:paraId="701E8283">
            <w:pPr>
              <w:spacing w:after="0" w:line="276" w:lineRule="auto"/>
            </w:pPr>
            <w:r>
              <w:rPr>
                <w:rFonts w:ascii="Times New Roman" w:hAnsi="Times New Roman" w:eastAsia="仿宋"/>
                <w:b w:val="0"/>
                <w:sz w:val="18"/>
              </w:rPr>
              <w:t>江苏省宿迁卫生中等专业学校</w:t>
            </w:r>
          </w:p>
        </w:tc>
      </w:tr>
      <w:tr w14:paraId="0B05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3978A8C3">
            <w:pPr>
              <w:spacing w:after="0" w:line="276" w:lineRule="auto"/>
            </w:pPr>
            <w:r>
              <w:rPr>
                <w:rFonts w:ascii="Times New Roman" w:hAnsi="Times New Roman" w:eastAsia="仿宋"/>
                <w:b w:val="0"/>
                <w:sz w:val="18"/>
              </w:rPr>
              <w:t>实施地点</w:t>
            </w:r>
          </w:p>
        </w:tc>
        <w:tc>
          <w:tcPr>
            <w:tcW w:w="7370" w:type="dxa"/>
          </w:tcPr>
          <w:p w14:paraId="0D825FE9">
            <w:pPr>
              <w:spacing w:after="0" w:line="276" w:lineRule="auto"/>
            </w:pPr>
            <w:r>
              <w:rPr>
                <w:rFonts w:ascii="Times New Roman" w:hAnsi="Times New Roman" w:eastAsia="仿宋"/>
                <w:b w:val="0"/>
                <w:sz w:val="18"/>
              </w:rPr>
              <w:t>教学区、宿舍区、行政办公区三个高压配电房，及进线电缆、地下电缆、楼栋配电系统等区域</w:t>
            </w:r>
          </w:p>
        </w:tc>
      </w:tr>
      <w:tr w14:paraId="3069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1A8989B0">
            <w:pPr>
              <w:spacing w:after="0" w:line="276" w:lineRule="auto"/>
            </w:pPr>
            <w:r>
              <w:rPr>
                <w:rFonts w:ascii="Times New Roman" w:hAnsi="Times New Roman" w:eastAsia="仿宋"/>
                <w:b w:val="0"/>
                <w:sz w:val="18"/>
              </w:rPr>
              <w:t>服务周期</w:t>
            </w:r>
          </w:p>
        </w:tc>
        <w:tc>
          <w:tcPr>
            <w:tcW w:w="7370" w:type="dxa"/>
          </w:tcPr>
          <w:p w14:paraId="6A2E385A">
            <w:pPr>
              <w:spacing w:after="0" w:line="276" w:lineRule="auto"/>
            </w:pPr>
            <w:r>
              <w:rPr>
                <w:rFonts w:ascii="Times New Roman" w:hAnsi="Times New Roman" w:eastAsia="仿宋"/>
                <w:b w:val="0"/>
                <w:sz w:val="18"/>
              </w:rPr>
              <w:t>一年，具体起止日期按合同约定</w:t>
            </w:r>
          </w:p>
        </w:tc>
      </w:tr>
      <w:tr w14:paraId="2392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2779EE13">
            <w:pPr>
              <w:spacing w:after="0" w:line="276" w:lineRule="auto"/>
            </w:pPr>
            <w:r>
              <w:rPr>
                <w:rFonts w:ascii="Times New Roman" w:hAnsi="Times New Roman" w:eastAsia="仿宋"/>
                <w:b w:val="0"/>
                <w:sz w:val="18"/>
              </w:rPr>
              <w:t>最高限价</w:t>
            </w:r>
          </w:p>
        </w:tc>
        <w:tc>
          <w:tcPr>
            <w:tcW w:w="7370" w:type="dxa"/>
          </w:tcPr>
          <w:p w14:paraId="06A09F94">
            <w:pPr>
              <w:spacing w:after="0" w:line="276" w:lineRule="auto"/>
            </w:pPr>
            <w:r>
              <w:rPr>
                <w:rFonts w:ascii="Times New Roman" w:hAnsi="Times New Roman" w:eastAsia="仿宋"/>
                <w:b w:val="0"/>
                <w:sz w:val="18"/>
              </w:rPr>
              <w:t>2.6万元/年（含税全费用包干价）</w:t>
            </w:r>
          </w:p>
        </w:tc>
      </w:tr>
      <w:tr w14:paraId="6607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22C54304">
            <w:pPr>
              <w:spacing w:after="0" w:line="276" w:lineRule="auto"/>
            </w:pPr>
            <w:r>
              <w:rPr>
                <w:rFonts w:ascii="Times New Roman" w:hAnsi="Times New Roman" w:eastAsia="仿宋"/>
                <w:b w:val="0"/>
                <w:sz w:val="18"/>
              </w:rPr>
              <w:t>采购内容</w:t>
            </w:r>
          </w:p>
        </w:tc>
        <w:tc>
          <w:tcPr>
            <w:tcW w:w="7370" w:type="dxa"/>
          </w:tcPr>
          <w:p w14:paraId="2915741D">
            <w:pPr>
              <w:spacing w:after="0" w:line="276" w:lineRule="auto"/>
            </w:pPr>
            <w:r>
              <w:rPr>
                <w:rFonts w:ascii="Times New Roman" w:hAnsi="Times New Roman" w:eastAsia="仿宋"/>
                <w:b w:val="0"/>
                <w:sz w:val="18"/>
              </w:rPr>
              <w:t>日常巡查维护、年度预防性试验、地下电缆走向检测及标识、用电安全隐患排查、应急抢修、安全工器具定期检测及必要补充采购</w:t>
            </w:r>
          </w:p>
        </w:tc>
      </w:tr>
      <w:tr w14:paraId="5CEF3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79271CD1">
            <w:pPr>
              <w:spacing w:after="0" w:line="276" w:lineRule="auto"/>
            </w:pPr>
            <w:r>
              <w:rPr>
                <w:rFonts w:ascii="Times New Roman" w:hAnsi="Times New Roman" w:eastAsia="仿宋"/>
                <w:b w:val="0"/>
                <w:sz w:val="18"/>
              </w:rPr>
              <w:t>采购方式</w:t>
            </w:r>
          </w:p>
        </w:tc>
        <w:tc>
          <w:tcPr>
            <w:tcW w:w="7370" w:type="dxa"/>
          </w:tcPr>
          <w:p w14:paraId="1B03DD93">
            <w:pPr>
              <w:spacing w:after="0" w:line="276" w:lineRule="auto"/>
            </w:pPr>
            <w:r>
              <w:rPr>
                <w:rFonts w:ascii="Times New Roman" w:hAnsi="Times New Roman" w:eastAsia="仿宋"/>
                <w:b w:val="0"/>
                <w:sz w:val="18"/>
              </w:rPr>
              <w:t>通过苏采云服务商城实施采购；可采用邀请比选（不少于3家）或公开比选。建议采用邀请比选，以最低成交价法确定成交供应商</w:t>
            </w:r>
          </w:p>
        </w:tc>
      </w:tr>
      <w:tr w14:paraId="54A0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725CAC22">
            <w:pPr>
              <w:spacing w:after="0" w:line="276" w:lineRule="auto"/>
            </w:pPr>
            <w:r>
              <w:rPr>
                <w:rFonts w:ascii="Times New Roman" w:hAnsi="Times New Roman" w:eastAsia="仿宋"/>
                <w:b w:val="0"/>
                <w:sz w:val="18"/>
              </w:rPr>
              <w:t>供应商资质</w:t>
            </w:r>
          </w:p>
        </w:tc>
        <w:tc>
          <w:tcPr>
            <w:tcW w:w="7370" w:type="dxa"/>
          </w:tcPr>
          <w:p w14:paraId="3128852A">
            <w:pPr>
              <w:spacing w:after="0" w:line="276" w:lineRule="auto"/>
            </w:pPr>
            <w:r>
              <w:rPr>
                <w:rFonts w:ascii="Times New Roman" w:hAnsi="Times New Roman" w:eastAsia="仿宋"/>
                <w:b w:val="0"/>
                <w:sz w:val="18"/>
              </w:rPr>
              <w:t>承装（修、试）电力设施许可证五级及以上；拟投入人员中高压电工等特种作业人员须持有效特种作业操作证；安全工器具检测可由供应商自行实施或委托具备相应资质的机构实施</w:t>
            </w:r>
          </w:p>
        </w:tc>
      </w:tr>
      <w:tr w14:paraId="7504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34D20CCC">
            <w:pPr>
              <w:spacing w:after="0" w:line="276" w:lineRule="auto"/>
            </w:pPr>
            <w:r>
              <w:rPr>
                <w:rFonts w:ascii="Times New Roman" w:hAnsi="Times New Roman" w:eastAsia="仿宋"/>
                <w:b w:val="0"/>
                <w:sz w:val="18"/>
              </w:rPr>
              <w:t>主要依据</w:t>
            </w:r>
          </w:p>
        </w:tc>
        <w:tc>
          <w:tcPr>
            <w:tcW w:w="7370" w:type="dxa"/>
          </w:tcPr>
          <w:p w14:paraId="4F25A63E">
            <w:pPr>
              <w:spacing w:after="0" w:line="276" w:lineRule="auto"/>
            </w:pPr>
            <w:r>
              <w:rPr>
                <w:rFonts w:ascii="Times New Roman" w:hAnsi="Times New Roman" w:eastAsia="仿宋"/>
                <w:b w:val="0"/>
                <w:sz w:val="18"/>
              </w:rPr>
              <w:t>DL/T 596-2021《电力设备预防性试验规程》、GB 50150-2016《电气装置安装工程 电气设备交接试验标准》、GB 26860《电力安全工作规程》、DL/T 1476《电力安全工器具预防性试验规程》等</w:t>
            </w:r>
          </w:p>
        </w:tc>
      </w:tr>
    </w:tbl>
    <w:p w14:paraId="6AECCCA1">
      <w:pPr>
        <w:keepNext/>
        <w:spacing w:before="200" w:after="100"/>
      </w:pPr>
      <w:r>
        <w:rPr>
          <w:rFonts w:ascii="Times New Roman" w:hAnsi="Times New Roman" w:eastAsia="黑体"/>
          <w:b/>
          <w:sz w:val="26"/>
        </w:rPr>
        <w:t>二、项目背景与采购必要性</w:t>
      </w:r>
    </w:p>
    <w:p w14:paraId="5BC27800">
      <w:pPr>
        <w:spacing w:before="0" w:after="80" w:line="312" w:lineRule="auto"/>
      </w:pPr>
      <w:r>
        <w:rPr>
          <w:rFonts w:ascii="Times New Roman" w:hAnsi="Times New Roman" w:eastAsia="仿宋"/>
          <w:b w:val="0"/>
          <w:sz w:val="21"/>
        </w:rPr>
        <w:t>学校现有高压配电房三个，分别位于教学区、宿舍区及行政办公区，承担全校教学实训、师生生活及行政办公用电负荷。学校无专职高压电工，配电设施须由具备承装（修、试）电力设施许可证五级及以上资质的专业公司进行日常巡查维护及年度预防性试验。</w:t>
      </w:r>
    </w:p>
    <w:p w14:paraId="392DBD9E">
      <w:pPr>
        <w:spacing w:before="60" w:after="80" w:line="312" w:lineRule="auto"/>
      </w:pPr>
      <w:r>
        <w:rPr>
          <w:rFonts w:ascii="Times New Roman" w:hAnsi="Times New Roman" w:eastAsia="仿宋"/>
          <w:b w:val="0"/>
          <w:sz w:val="21"/>
        </w:rPr>
        <w:t>原维保服务已到期。本年度采购预算已经审批，金额为2.6万元/年。费用主要用于人工巡检维护、年度预防性试验，并新增地下电缆走向检测及标识，以及安全工器具定期检测和必要补充采购。</w:t>
      </w:r>
    </w:p>
    <w:p w14:paraId="270FC0DD">
      <w:pPr>
        <w:keepNext/>
        <w:spacing w:before="200" w:after="100"/>
      </w:pPr>
      <w:r>
        <w:rPr>
          <w:rFonts w:ascii="Times New Roman" w:hAnsi="Times New Roman" w:eastAsia="黑体"/>
          <w:b/>
          <w:sz w:val="26"/>
        </w:rPr>
        <w:t>三、服务范围及技术要求</w:t>
      </w:r>
    </w:p>
    <w:p w14:paraId="1E5B2F86">
      <w:pPr>
        <w:keepNext/>
        <w:spacing w:before="120" w:after="60"/>
      </w:pPr>
      <w:r>
        <w:rPr>
          <w:rFonts w:ascii="Times New Roman" w:hAnsi="Times New Roman" w:eastAsia="黑体"/>
          <w:b/>
          <w:sz w:val="22"/>
        </w:rPr>
        <w:t>（一）日常巡查维护</w:t>
      </w:r>
    </w:p>
    <w:p w14:paraId="0A633C9E">
      <w:pPr>
        <w:spacing w:before="0" w:after="80" w:line="312" w:lineRule="auto"/>
      </w:pPr>
      <w:r>
        <w:rPr>
          <w:rFonts w:ascii="Times New Roman" w:hAnsi="Times New Roman" w:eastAsia="仿宋"/>
          <w:b w:val="0"/>
          <w:sz w:val="21"/>
        </w:rPr>
        <w:t>供应商应建立巡检、试验、隐患整改、应急抢修、工器具检测及采购五类台账，按月、季度、年度向采购人提交记录和报告。主要维护内容如下：</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247"/>
        <w:gridCol w:w="5839"/>
      </w:tblGrid>
      <w:tr w14:paraId="3B8F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shd w:val="clear" w:color="auto" w:fill="D9D9D9"/>
          </w:tcPr>
          <w:p w14:paraId="178926BD">
            <w:pPr>
              <w:spacing w:after="0" w:line="240" w:lineRule="auto"/>
              <w:jc w:val="center"/>
            </w:pPr>
            <w:r>
              <w:rPr>
                <w:rFonts w:ascii="Times New Roman" w:hAnsi="Times New Roman" w:eastAsia="黑体"/>
                <w:b/>
                <w:sz w:val="18"/>
              </w:rPr>
              <w:t>维护对象</w:t>
            </w:r>
          </w:p>
        </w:tc>
        <w:tc>
          <w:tcPr>
            <w:tcW w:w="1247" w:type="dxa"/>
            <w:shd w:val="clear" w:color="auto" w:fill="D9D9D9"/>
          </w:tcPr>
          <w:p w14:paraId="408EF08E">
            <w:pPr>
              <w:spacing w:after="0" w:line="240" w:lineRule="auto"/>
              <w:jc w:val="center"/>
            </w:pPr>
            <w:r>
              <w:rPr>
                <w:rFonts w:ascii="Times New Roman" w:hAnsi="Times New Roman" w:eastAsia="黑体"/>
                <w:b/>
                <w:sz w:val="18"/>
              </w:rPr>
              <w:t>频次</w:t>
            </w:r>
          </w:p>
        </w:tc>
        <w:tc>
          <w:tcPr>
            <w:tcW w:w="5839" w:type="dxa"/>
            <w:shd w:val="clear" w:color="auto" w:fill="D9D9D9"/>
          </w:tcPr>
          <w:p w14:paraId="6F3FE1AB">
            <w:pPr>
              <w:spacing w:after="0" w:line="240" w:lineRule="auto"/>
              <w:jc w:val="center"/>
            </w:pPr>
            <w:r>
              <w:rPr>
                <w:rFonts w:ascii="Times New Roman" w:hAnsi="Times New Roman" w:eastAsia="黑体"/>
                <w:b/>
                <w:sz w:val="18"/>
              </w:rPr>
              <w:t>主要要求</w:t>
            </w:r>
          </w:p>
        </w:tc>
      </w:tr>
      <w:tr w14:paraId="14429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2D4C6B71">
            <w:pPr>
              <w:spacing w:after="0" w:line="276" w:lineRule="auto"/>
            </w:pPr>
            <w:r>
              <w:rPr>
                <w:rFonts w:ascii="Times New Roman" w:hAnsi="Times New Roman" w:eastAsia="仿宋"/>
                <w:b w:val="0"/>
                <w:sz w:val="18"/>
              </w:rPr>
              <w:t>进线电缆终端头</w:t>
            </w:r>
          </w:p>
        </w:tc>
        <w:tc>
          <w:tcPr>
            <w:tcW w:w="1247" w:type="dxa"/>
          </w:tcPr>
          <w:p w14:paraId="0771CF4C">
            <w:pPr>
              <w:spacing w:after="0" w:line="276" w:lineRule="auto"/>
            </w:pPr>
            <w:r>
              <w:rPr>
                <w:rFonts w:ascii="Times New Roman" w:hAnsi="Times New Roman" w:eastAsia="仿宋"/>
                <w:b w:val="0"/>
                <w:sz w:val="18"/>
              </w:rPr>
              <w:t>每月</w:t>
            </w:r>
          </w:p>
        </w:tc>
        <w:tc>
          <w:tcPr>
            <w:tcW w:w="5839" w:type="dxa"/>
          </w:tcPr>
          <w:p w14:paraId="150286E4">
            <w:pPr>
              <w:spacing w:after="0" w:line="276" w:lineRule="auto"/>
            </w:pPr>
            <w:r>
              <w:rPr>
                <w:rFonts w:ascii="Times New Roman" w:hAnsi="Times New Roman" w:eastAsia="仿宋"/>
                <w:b w:val="0"/>
                <w:sz w:val="18"/>
              </w:rPr>
              <w:t>检查连接部位过热、瓷件或硅橡胶伞裙脏污损伤、固定情况、放电、渗漏、相色及接地等</w:t>
            </w:r>
          </w:p>
        </w:tc>
      </w:tr>
      <w:tr w14:paraId="003A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CE4A7C1">
            <w:pPr>
              <w:spacing w:after="0" w:line="276" w:lineRule="auto"/>
            </w:pPr>
            <w:r>
              <w:rPr>
                <w:rFonts w:ascii="Times New Roman" w:hAnsi="Times New Roman" w:eastAsia="仿宋"/>
                <w:b w:val="0"/>
                <w:sz w:val="18"/>
              </w:rPr>
              <w:t>电缆线路本体</w:t>
            </w:r>
          </w:p>
        </w:tc>
        <w:tc>
          <w:tcPr>
            <w:tcW w:w="1247" w:type="dxa"/>
          </w:tcPr>
          <w:p w14:paraId="6C866752">
            <w:pPr>
              <w:spacing w:after="0" w:line="276" w:lineRule="auto"/>
            </w:pPr>
            <w:r>
              <w:rPr>
                <w:rFonts w:ascii="Times New Roman" w:hAnsi="Times New Roman" w:eastAsia="仿宋"/>
                <w:b w:val="0"/>
                <w:sz w:val="18"/>
              </w:rPr>
              <w:t>每月</w:t>
            </w:r>
          </w:p>
        </w:tc>
        <w:tc>
          <w:tcPr>
            <w:tcW w:w="5839" w:type="dxa"/>
          </w:tcPr>
          <w:p w14:paraId="6756108F">
            <w:pPr>
              <w:spacing w:after="0" w:line="276" w:lineRule="auto"/>
            </w:pPr>
            <w:r>
              <w:rPr>
                <w:rFonts w:ascii="Times New Roman" w:hAnsi="Times New Roman" w:eastAsia="仿宋"/>
                <w:b w:val="0"/>
                <w:sz w:val="18"/>
              </w:rPr>
              <w:t>检查标识编号、排列、隔离、防火措施，发现缺陷及时记录并建议处理</w:t>
            </w:r>
          </w:p>
        </w:tc>
      </w:tr>
      <w:tr w14:paraId="0B0F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2546202C">
            <w:pPr>
              <w:spacing w:after="0" w:line="276" w:lineRule="auto"/>
            </w:pPr>
            <w:r>
              <w:rPr>
                <w:rFonts w:ascii="Times New Roman" w:hAnsi="Times New Roman" w:eastAsia="仿宋"/>
                <w:b w:val="0"/>
                <w:sz w:val="18"/>
              </w:rPr>
              <w:t>柱上开关</w:t>
            </w:r>
          </w:p>
        </w:tc>
        <w:tc>
          <w:tcPr>
            <w:tcW w:w="1247" w:type="dxa"/>
          </w:tcPr>
          <w:p w14:paraId="4A1D9D30">
            <w:pPr>
              <w:spacing w:after="0" w:line="276" w:lineRule="auto"/>
            </w:pPr>
            <w:r>
              <w:rPr>
                <w:rFonts w:ascii="Times New Roman" w:hAnsi="Times New Roman" w:eastAsia="仿宋"/>
                <w:b w:val="0"/>
                <w:sz w:val="18"/>
              </w:rPr>
              <w:t>每季度</w:t>
            </w:r>
          </w:p>
        </w:tc>
        <w:tc>
          <w:tcPr>
            <w:tcW w:w="5839" w:type="dxa"/>
          </w:tcPr>
          <w:p w14:paraId="25DF55D8">
            <w:pPr>
              <w:spacing w:after="0" w:line="276" w:lineRule="auto"/>
            </w:pPr>
            <w:r>
              <w:rPr>
                <w:rFonts w:ascii="Times New Roman" w:hAnsi="Times New Roman" w:eastAsia="仿宋"/>
                <w:b w:val="0"/>
                <w:sz w:val="18"/>
              </w:rPr>
              <w:t>检查绝缘、触头、引下线接点、间距、操作机构锈蚀等</w:t>
            </w:r>
          </w:p>
        </w:tc>
      </w:tr>
      <w:tr w14:paraId="42A5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EB4504D">
            <w:pPr>
              <w:spacing w:after="0" w:line="276" w:lineRule="auto"/>
            </w:pPr>
            <w:r>
              <w:rPr>
                <w:rFonts w:ascii="Times New Roman" w:hAnsi="Times New Roman" w:eastAsia="仿宋"/>
                <w:b w:val="0"/>
                <w:sz w:val="18"/>
              </w:rPr>
              <w:t>高压柜</w:t>
            </w:r>
          </w:p>
        </w:tc>
        <w:tc>
          <w:tcPr>
            <w:tcW w:w="1247" w:type="dxa"/>
          </w:tcPr>
          <w:p w14:paraId="2A0F8F10">
            <w:pPr>
              <w:spacing w:after="0" w:line="276" w:lineRule="auto"/>
            </w:pPr>
            <w:r>
              <w:rPr>
                <w:rFonts w:ascii="Times New Roman" w:hAnsi="Times New Roman" w:eastAsia="仿宋"/>
                <w:b w:val="0"/>
                <w:sz w:val="18"/>
              </w:rPr>
              <w:t>每月</w:t>
            </w:r>
          </w:p>
        </w:tc>
        <w:tc>
          <w:tcPr>
            <w:tcW w:w="5839" w:type="dxa"/>
          </w:tcPr>
          <w:p w14:paraId="145550B8">
            <w:pPr>
              <w:spacing w:after="0" w:line="276" w:lineRule="auto"/>
            </w:pPr>
            <w:r>
              <w:rPr>
                <w:rFonts w:ascii="Times New Roman" w:hAnsi="Times New Roman" w:eastAsia="仿宋"/>
                <w:b w:val="0"/>
                <w:sz w:val="18"/>
              </w:rPr>
              <w:t>检查绝缘件、操作机构、储能、线圈、动静触头、消弧装置、避雷器、母线接头等</w:t>
            </w:r>
          </w:p>
        </w:tc>
      </w:tr>
      <w:tr w14:paraId="6B34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299F932">
            <w:pPr>
              <w:spacing w:after="0" w:line="276" w:lineRule="auto"/>
            </w:pPr>
            <w:r>
              <w:rPr>
                <w:rFonts w:ascii="Times New Roman" w:hAnsi="Times New Roman" w:eastAsia="仿宋"/>
                <w:b w:val="0"/>
                <w:sz w:val="18"/>
              </w:rPr>
              <w:t>变压器</w:t>
            </w:r>
          </w:p>
        </w:tc>
        <w:tc>
          <w:tcPr>
            <w:tcW w:w="1247" w:type="dxa"/>
          </w:tcPr>
          <w:p w14:paraId="250056C1">
            <w:pPr>
              <w:spacing w:after="0" w:line="276" w:lineRule="auto"/>
            </w:pPr>
            <w:r>
              <w:rPr>
                <w:rFonts w:ascii="Times New Roman" w:hAnsi="Times New Roman" w:eastAsia="仿宋"/>
                <w:b w:val="0"/>
                <w:sz w:val="18"/>
              </w:rPr>
              <w:t>每月</w:t>
            </w:r>
          </w:p>
        </w:tc>
        <w:tc>
          <w:tcPr>
            <w:tcW w:w="5839" w:type="dxa"/>
          </w:tcPr>
          <w:p w14:paraId="69C1531A">
            <w:pPr>
              <w:spacing w:after="0" w:line="276" w:lineRule="auto"/>
            </w:pPr>
            <w:r>
              <w:rPr>
                <w:rFonts w:ascii="Times New Roman" w:hAnsi="Times New Roman" w:eastAsia="仿宋"/>
                <w:b w:val="0"/>
                <w:sz w:val="18"/>
              </w:rPr>
              <w:t>检查油箱、储油柜、分接开关、冷却系统、套管及互感器、保护测量装置、接地等</w:t>
            </w:r>
          </w:p>
        </w:tc>
      </w:tr>
      <w:tr w14:paraId="6B1CE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1F0C113F">
            <w:pPr>
              <w:spacing w:after="0" w:line="276" w:lineRule="auto"/>
            </w:pPr>
            <w:r>
              <w:rPr>
                <w:rFonts w:ascii="Times New Roman" w:hAnsi="Times New Roman" w:eastAsia="仿宋"/>
                <w:b w:val="0"/>
                <w:sz w:val="18"/>
              </w:rPr>
              <w:t>低压柜</w:t>
            </w:r>
          </w:p>
        </w:tc>
        <w:tc>
          <w:tcPr>
            <w:tcW w:w="1247" w:type="dxa"/>
          </w:tcPr>
          <w:p w14:paraId="7F93ABE9">
            <w:pPr>
              <w:spacing w:after="0" w:line="276" w:lineRule="auto"/>
            </w:pPr>
            <w:r>
              <w:rPr>
                <w:rFonts w:ascii="Times New Roman" w:hAnsi="Times New Roman" w:eastAsia="仿宋"/>
                <w:b w:val="0"/>
                <w:sz w:val="18"/>
              </w:rPr>
              <w:t>每月</w:t>
            </w:r>
          </w:p>
        </w:tc>
        <w:tc>
          <w:tcPr>
            <w:tcW w:w="5839" w:type="dxa"/>
          </w:tcPr>
          <w:p w14:paraId="3A11DA74">
            <w:pPr>
              <w:spacing w:after="0" w:line="276" w:lineRule="auto"/>
            </w:pPr>
            <w:r>
              <w:rPr>
                <w:rFonts w:ascii="Times New Roman" w:hAnsi="Times New Roman" w:eastAsia="仿宋"/>
                <w:b w:val="0"/>
                <w:sz w:val="18"/>
              </w:rPr>
              <w:t>检查柜内设备、导体触头、绝缘部件、操动或传动机构、机械防误连锁、二次接线等</w:t>
            </w:r>
          </w:p>
        </w:tc>
      </w:tr>
      <w:tr w14:paraId="7459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41D0F616">
            <w:pPr>
              <w:spacing w:after="0" w:line="276" w:lineRule="auto"/>
            </w:pPr>
            <w:r>
              <w:rPr>
                <w:rFonts w:ascii="Times New Roman" w:hAnsi="Times New Roman" w:eastAsia="仿宋"/>
                <w:b w:val="0"/>
                <w:sz w:val="18"/>
              </w:rPr>
              <w:t>电缆分支箱</w:t>
            </w:r>
          </w:p>
        </w:tc>
        <w:tc>
          <w:tcPr>
            <w:tcW w:w="1247" w:type="dxa"/>
          </w:tcPr>
          <w:p w14:paraId="198A6DCD">
            <w:pPr>
              <w:spacing w:after="0" w:line="276" w:lineRule="auto"/>
            </w:pPr>
            <w:r>
              <w:rPr>
                <w:rFonts w:ascii="Times New Roman" w:hAnsi="Times New Roman" w:eastAsia="仿宋"/>
                <w:b w:val="0"/>
                <w:sz w:val="18"/>
              </w:rPr>
              <w:t>每月</w:t>
            </w:r>
          </w:p>
        </w:tc>
        <w:tc>
          <w:tcPr>
            <w:tcW w:w="5839" w:type="dxa"/>
          </w:tcPr>
          <w:p w14:paraId="33849D9F">
            <w:pPr>
              <w:spacing w:after="0" w:line="276" w:lineRule="auto"/>
            </w:pPr>
            <w:r>
              <w:rPr>
                <w:rFonts w:ascii="Times New Roman" w:hAnsi="Times New Roman" w:eastAsia="仿宋"/>
                <w:b w:val="0"/>
                <w:sz w:val="18"/>
              </w:rPr>
              <w:t>检查基础、箱体、电缆搭头、标识、孔洞封堵、防小动物、防水防潮等</w:t>
            </w:r>
          </w:p>
        </w:tc>
      </w:tr>
      <w:tr w14:paraId="0D9F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5E23813">
            <w:pPr>
              <w:spacing w:after="0" w:line="276" w:lineRule="auto"/>
            </w:pPr>
            <w:r>
              <w:rPr>
                <w:rFonts w:ascii="Times New Roman" w:hAnsi="Times New Roman" w:eastAsia="仿宋"/>
                <w:b w:val="0"/>
                <w:sz w:val="18"/>
              </w:rPr>
              <w:t>地下电缆走向检测及标识</w:t>
            </w:r>
          </w:p>
        </w:tc>
        <w:tc>
          <w:tcPr>
            <w:tcW w:w="1247" w:type="dxa"/>
          </w:tcPr>
          <w:p w14:paraId="0334CA1B">
            <w:pPr>
              <w:spacing w:after="0" w:line="276" w:lineRule="auto"/>
            </w:pPr>
            <w:r>
              <w:rPr>
                <w:rFonts w:ascii="Times New Roman" w:hAnsi="Times New Roman" w:eastAsia="仿宋"/>
                <w:b w:val="0"/>
                <w:sz w:val="18"/>
              </w:rPr>
              <w:t>合同期内完成</w:t>
            </w:r>
          </w:p>
        </w:tc>
        <w:tc>
          <w:tcPr>
            <w:tcW w:w="5839" w:type="dxa"/>
          </w:tcPr>
          <w:p w14:paraId="1ED4BBEE">
            <w:pPr>
              <w:spacing w:after="0" w:line="276" w:lineRule="auto"/>
            </w:pPr>
            <w:r>
              <w:rPr>
                <w:rFonts w:ascii="Times New Roman" w:hAnsi="Times New Roman" w:eastAsia="仿宋"/>
                <w:b w:val="0"/>
                <w:sz w:val="18"/>
              </w:rPr>
              <w:t>检测地下电缆安全性，标出配电房至各楼栋的电缆走向，形成图纸或示意图并移交采购人</w:t>
            </w:r>
          </w:p>
        </w:tc>
      </w:tr>
      <w:tr w14:paraId="2CDB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7297EA52">
            <w:pPr>
              <w:spacing w:after="0" w:line="276" w:lineRule="auto"/>
            </w:pPr>
            <w:r>
              <w:rPr>
                <w:rFonts w:ascii="Times New Roman" w:hAnsi="Times New Roman" w:eastAsia="仿宋"/>
                <w:b w:val="0"/>
                <w:sz w:val="18"/>
              </w:rPr>
              <w:t>用电安全隐患排查</w:t>
            </w:r>
          </w:p>
        </w:tc>
        <w:tc>
          <w:tcPr>
            <w:tcW w:w="1247" w:type="dxa"/>
          </w:tcPr>
          <w:p w14:paraId="289383E2">
            <w:pPr>
              <w:spacing w:after="0" w:line="276" w:lineRule="auto"/>
            </w:pPr>
            <w:r>
              <w:rPr>
                <w:rFonts w:ascii="Times New Roman" w:hAnsi="Times New Roman" w:eastAsia="仿宋"/>
                <w:b w:val="0"/>
                <w:sz w:val="18"/>
              </w:rPr>
              <w:t>按采购人安排</w:t>
            </w:r>
          </w:p>
        </w:tc>
        <w:tc>
          <w:tcPr>
            <w:tcW w:w="5839" w:type="dxa"/>
          </w:tcPr>
          <w:p w14:paraId="48BB164F">
            <w:pPr>
              <w:spacing w:after="0" w:line="276" w:lineRule="auto"/>
            </w:pPr>
            <w:r>
              <w:rPr>
                <w:rFonts w:ascii="Times New Roman" w:hAnsi="Times New Roman" w:eastAsia="仿宋"/>
                <w:b w:val="0"/>
                <w:sz w:val="18"/>
              </w:rPr>
              <w:t>协助排查各楼栋配电室及用电隐患，形成问题清单和整改建议</w:t>
            </w:r>
          </w:p>
        </w:tc>
      </w:tr>
    </w:tbl>
    <w:p w14:paraId="70C3EB06">
      <w:pPr>
        <w:keepNext/>
        <w:spacing w:before="120" w:after="60"/>
      </w:pPr>
      <w:r>
        <w:rPr>
          <w:rFonts w:ascii="Times New Roman" w:hAnsi="Times New Roman" w:eastAsia="黑体"/>
          <w:b/>
          <w:sz w:val="22"/>
        </w:rPr>
        <w:t>（二）年度预防性试验</w:t>
      </w:r>
    </w:p>
    <w:p w14:paraId="4E9AF901">
      <w:pPr>
        <w:spacing w:before="0" w:after="80" w:line="312" w:lineRule="auto"/>
      </w:pPr>
      <w:r>
        <w:rPr>
          <w:rFonts w:ascii="Times New Roman" w:hAnsi="Times New Roman" w:eastAsia="仿宋"/>
          <w:b w:val="0"/>
          <w:sz w:val="21"/>
        </w:rPr>
        <w:t>供应商应于服务期内按规程完成一次年度预防性试验，并出具正式试验报告。最低试验项目如下：</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4"/>
        <w:gridCol w:w="7313"/>
      </w:tblGrid>
      <w:tr w14:paraId="13E2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 w:type="dxa"/>
            <w:shd w:val="clear" w:color="auto" w:fill="D9D9D9"/>
          </w:tcPr>
          <w:p w14:paraId="2702EA85">
            <w:pPr>
              <w:spacing w:after="0" w:line="240" w:lineRule="auto"/>
              <w:jc w:val="center"/>
            </w:pPr>
            <w:r>
              <w:rPr>
                <w:rFonts w:ascii="Times New Roman" w:hAnsi="Times New Roman" w:eastAsia="黑体"/>
                <w:b/>
                <w:sz w:val="18"/>
              </w:rPr>
              <w:t>设备</w:t>
            </w:r>
          </w:p>
        </w:tc>
        <w:tc>
          <w:tcPr>
            <w:tcW w:w="7313" w:type="dxa"/>
            <w:shd w:val="clear" w:color="auto" w:fill="D9D9D9"/>
          </w:tcPr>
          <w:p w14:paraId="44035405">
            <w:pPr>
              <w:spacing w:after="0" w:line="240" w:lineRule="auto"/>
              <w:jc w:val="center"/>
            </w:pPr>
            <w:r>
              <w:rPr>
                <w:rFonts w:ascii="Times New Roman" w:hAnsi="Times New Roman" w:eastAsia="黑体"/>
                <w:b/>
                <w:sz w:val="18"/>
              </w:rPr>
              <w:t>试验项目</w:t>
            </w:r>
          </w:p>
        </w:tc>
      </w:tr>
      <w:tr w14:paraId="27A45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4" w:type="dxa"/>
          </w:tcPr>
          <w:p w14:paraId="2886AA6C">
            <w:pPr>
              <w:spacing w:after="0" w:line="276" w:lineRule="auto"/>
            </w:pPr>
            <w:r>
              <w:rPr>
                <w:rFonts w:ascii="Times New Roman" w:hAnsi="Times New Roman" w:eastAsia="仿宋"/>
                <w:b w:val="0"/>
                <w:sz w:val="18"/>
              </w:rPr>
              <w:t>电力变压器</w:t>
            </w:r>
          </w:p>
        </w:tc>
        <w:tc>
          <w:tcPr>
            <w:tcW w:w="7313" w:type="dxa"/>
          </w:tcPr>
          <w:p w14:paraId="6FA4F505">
            <w:pPr>
              <w:spacing w:after="0" w:line="276" w:lineRule="auto"/>
            </w:pPr>
            <w:r>
              <w:rPr>
                <w:rFonts w:ascii="Times New Roman" w:hAnsi="Times New Roman" w:eastAsia="仿宋"/>
                <w:b w:val="0"/>
                <w:sz w:val="18"/>
              </w:rPr>
              <w:t>绕组连同套管直流电阻、分接电压比、接线组别或极性、铁心及夹件绝缘、套管试验、有载调压切换、绝缘电阻或吸收比、交流耐压、冲击合闸、相位检查</w:t>
            </w:r>
          </w:p>
        </w:tc>
      </w:tr>
      <w:tr w14:paraId="3270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 w:type="dxa"/>
          </w:tcPr>
          <w:p w14:paraId="5A5285F4">
            <w:pPr>
              <w:spacing w:after="0" w:line="276" w:lineRule="auto"/>
            </w:pPr>
            <w:r>
              <w:rPr>
                <w:rFonts w:ascii="Times New Roman" w:hAnsi="Times New Roman" w:eastAsia="仿宋"/>
                <w:b w:val="0"/>
                <w:sz w:val="18"/>
              </w:rPr>
              <w:t>高压柜</w:t>
            </w:r>
          </w:p>
        </w:tc>
        <w:tc>
          <w:tcPr>
            <w:tcW w:w="7313" w:type="dxa"/>
          </w:tcPr>
          <w:p w14:paraId="68661FD0">
            <w:pPr>
              <w:spacing w:after="0" w:line="276" w:lineRule="auto"/>
            </w:pPr>
            <w:r>
              <w:rPr>
                <w:rFonts w:ascii="Times New Roman" w:hAnsi="Times New Roman" w:eastAsia="仿宋"/>
                <w:b w:val="0"/>
                <w:sz w:val="18"/>
              </w:rPr>
              <w:t>绝缘电阻、每相导电回路电阻、交流耐压试验</w:t>
            </w:r>
          </w:p>
        </w:tc>
      </w:tr>
      <w:tr w14:paraId="0683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 w:type="dxa"/>
          </w:tcPr>
          <w:p w14:paraId="5FFE3D2F">
            <w:pPr>
              <w:spacing w:after="0" w:line="276" w:lineRule="auto"/>
            </w:pPr>
            <w:r>
              <w:rPr>
                <w:rFonts w:ascii="Times New Roman" w:hAnsi="Times New Roman" w:eastAsia="仿宋"/>
                <w:b w:val="0"/>
                <w:sz w:val="18"/>
              </w:rPr>
              <w:t>电力电缆</w:t>
            </w:r>
          </w:p>
        </w:tc>
        <w:tc>
          <w:tcPr>
            <w:tcW w:w="7313" w:type="dxa"/>
          </w:tcPr>
          <w:p w14:paraId="54F8F141">
            <w:pPr>
              <w:spacing w:after="0" w:line="276" w:lineRule="auto"/>
            </w:pPr>
            <w:r>
              <w:rPr>
                <w:rFonts w:ascii="Times New Roman" w:hAnsi="Times New Roman" w:eastAsia="仿宋"/>
                <w:b w:val="0"/>
                <w:sz w:val="18"/>
              </w:rPr>
              <w:t>主绝缘及外护层绝缘电阻、主绝缘直流或交流耐压、泄漏电流、局部放电测量等</w:t>
            </w:r>
          </w:p>
        </w:tc>
      </w:tr>
      <w:tr w14:paraId="2E94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 w:type="dxa"/>
          </w:tcPr>
          <w:p w14:paraId="6FE77961">
            <w:pPr>
              <w:spacing w:after="0" w:line="276" w:lineRule="auto"/>
            </w:pPr>
            <w:r>
              <w:rPr>
                <w:rFonts w:ascii="Times New Roman" w:hAnsi="Times New Roman" w:eastAsia="仿宋"/>
                <w:b w:val="0"/>
                <w:sz w:val="18"/>
              </w:rPr>
              <w:t>低压柜</w:t>
            </w:r>
          </w:p>
        </w:tc>
        <w:tc>
          <w:tcPr>
            <w:tcW w:w="7313" w:type="dxa"/>
          </w:tcPr>
          <w:p w14:paraId="33A2BC3E">
            <w:pPr>
              <w:spacing w:after="0" w:line="276" w:lineRule="auto"/>
            </w:pPr>
            <w:r>
              <w:rPr>
                <w:rFonts w:ascii="Times New Roman" w:hAnsi="Times New Roman" w:eastAsia="仿宋"/>
                <w:b w:val="0"/>
                <w:sz w:val="18"/>
              </w:rPr>
              <w:t>电气间隙或爬电距离、母线和导线、柜内元件、结构镀层、机械电气操作、介电强度、保护电路连续性、功能单元互换性</w:t>
            </w:r>
          </w:p>
        </w:tc>
      </w:tr>
      <w:tr w14:paraId="5803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 w:type="dxa"/>
          </w:tcPr>
          <w:p w14:paraId="3159FE69">
            <w:pPr>
              <w:spacing w:after="0" w:line="276" w:lineRule="auto"/>
            </w:pPr>
            <w:r>
              <w:rPr>
                <w:rFonts w:ascii="Times New Roman" w:hAnsi="Times New Roman" w:eastAsia="仿宋"/>
                <w:b w:val="0"/>
                <w:sz w:val="18"/>
              </w:rPr>
              <w:t>柱上开关</w:t>
            </w:r>
          </w:p>
        </w:tc>
        <w:tc>
          <w:tcPr>
            <w:tcW w:w="7313" w:type="dxa"/>
          </w:tcPr>
          <w:p w14:paraId="1D4951FE">
            <w:pPr>
              <w:spacing w:after="0" w:line="276" w:lineRule="auto"/>
            </w:pPr>
            <w:r>
              <w:rPr>
                <w:rFonts w:ascii="Times New Roman" w:hAnsi="Times New Roman" w:eastAsia="仿宋"/>
                <w:b w:val="0"/>
                <w:sz w:val="18"/>
              </w:rPr>
              <w:t>绝缘试验、主回路电阻、动热稳定、机械操作、短路关合开断、电缆充电电流开合</w:t>
            </w:r>
          </w:p>
        </w:tc>
      </w:tr>
      <w:tr w14:paraId="207A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 w:type="dxa"/>
          </w:tcPr>
          <w:p w14:paraId="40E4435E">
            <w:pPr>
              <w:spacing w:after="0" w:line="276" w:lineRule="auto"/>
            </w:pPr>
            <w:r>
              <w:rPr>
                <w:rFonts w:ascii="Times New Roman" w:hAnsi="Times New Roman" w:eastAsia="仿宋"/>
                <w:b w:val="0"/>
                <w:sz w:val="18"/>
              </w:rPr>
              <w:t>电缆分支箱</w:t>
            </w:r>
          </w:p>
        </w:tc>
        <w:tc>
          <w:tcPr>
            <w:tcW w:w="7313" w:type="dxa"/>
          </w:tcPr>
          <w:p w14:paraId="76759ADB">
            <w:pPr>
              <w:spacing w:after="0" w:line="276" w:lineRule="auto"/>
            </w:pPr>
            <w:r>
              <w:rPr>
                <w:rFonts w:ascii="Times New Roman" w:hAnsi="Times New Roman" w:eastAsia="仿宋"/>
                <w:b w:val="0"/>
                <w:sz w:val="18"/>
              </w:rPr>
              <w:t>按规程和现场实际开展绝缘、回路电阻、操作机构及防护性能检查</w:t>
            </w:r>
          </w:p>
        </w:tc>
      </w:tr>
    </w:tbl>
    <w:p w14:paraId="2D648A0D">
      <w:pPr>
        <w:keepNext/>
        <w:spacing w:before="120" w:after="60"/>
        <w:rPr>
          <w:rFonts w:hint="eastAsia" w:eastAsia="黑体"/>
          <w:lang w:eastAsia="zh-CN"/>
        </w:rPr>
      </w:pPr>
      <w:r>
        <w:rPr>
          <w:rFonts w:ascii="Times New Roman" w:hAnsi="Times New Roman" w:eastAsia="黑体"/>
          <w:b/>
          <w:sz w:val="22"/>
        </w:rPr>
        <w:t>（三）应急抢修</w:t>
      </w:r>
      <w:r>
        <w:rPr>
          <w:rFonts w:hint="eastAsia" w:eastAsia="黑体"/>
          <w:b/>
          <w:sz w:val="22"/>
          <w:lang w:eastAsia="zh-CN"/>
        </w:rPr>
        <w:t>（</w:t>
      </w:r>
      <w:r>
        <w:rPr>
          <w:rFonts w:hint="eastAsia" w:eastAsia="黑体"/>
          <w:b/>
          <w:sz w:val="22"/>
          <w:lang w:val="en-US" w:eastAsia="zh-CN"/>
        </w:rPr>
        <w:t>仅需人工处理的请维保公司解决，3千以内的报学校批准后执行，超出3千的，按校内规定走招采程序</w:t>
      </w:r>
      <w:r>
        <w:rPr>
          <w:rFonts w:hint="eastAsia" w:eastAsia="黑体"/>
          <w:b/>
          <w:sz w:val="22"/>
          <w:lang w:eastAsia="zh-CN"/>
        </w:rPr>
        <w:t>）</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1"/>
        <w:gridCol w:w="1587"/>
        <w:gridCol w:w="4819"/>
      </w:tblGrid>
      <w:tr w14:paraId="44F7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1" w:type="dxa"/>
            <w:shd w:val="clear" w:color="auto" w:fill="D9D9D9"/>
          </w:tcPr>
          <w:p w14:paraId="09F3B90D">
            <w:pPr>
              <w:spacing w:after="0" w:line="240" w:lineRule="auto"/>
              <w:jc w:val="center"/>
            </w:pPr>
            <w:r>
              <w:rPr>
                <w:rFonts w:ascii="Times New Roman" w:hAnsi="Times New Roman" w:eastAsia="黑体"/>
                <w:b/>
                <w:sz w:val="18"/>
              </w:rPr>
              <w:t>故障等级</w:t>
            </w:r>
          </w:p>
        </w:tc>
        <w:tc>
          <w:tcPr>
            <w:tcW w:w="1587" w:type="dxa"/>
            <w:shd w:val="clear" w:color="auto" w:fill="D9D9D9"/>
          </w:tcPr>
          <w:p w14:paraId="72930320">
            <w:pPr>
              <w:spacing w:after="0" w:line="240" w:lineRule="auto"/>
              <w:jc w:val="center"/>
            </w:pPr>
            <w:r>
              <w:rPr>
                <w:rFonts w:ascii="Times New Roman" w:hAnsi="Times New Roman" w:eastAsia="黑体"/>
                <w:b/>
                <w:sz w:val="18"/>
              </w:rPr>
              <w:t>到场时限</w:t>
            </w:r>
          </w:p>
        </w:tc>
        <w:tc>
          <w:tcPr>
            <w:tcW w:w="4819" w:type="dxa"/>
            <w:shd w:val="clear" w:color="auto" w:fill="D9D9D9"/>
          </w:tcPr>
          <w:p w14:paraId="66EC77D2">
            <w:pPr>
              <w:spacing w:after="0" w:line="240" w:lineRule="auto"/>
              <w:jc w:val="center"/>
            </w:pPr>
            <w:r>
              <w:rPr>
                <w:rFonts w:ascii="Times New Roman" w:hAnsi="Times New Roman" w:eastAsia="黑体"/>
                <w:b/>
                <w:sz w:val="18"/>
              </w:rPr>
              <w:t>处置要求</w:t>
            </w:r>
          </w:p>
        </w:tc>
      </w:tr>
      <w:tr w14:paraId="06DC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1" w:type="dxa"/>
          </w:tcPr>
          <w:p w14:paraId="31DA819C">
            <w:pPr>
              <w:spacing w:after="0" w:line="276" w:lineRule="auto"/>
              <w:rPr>
                <w:rFonts w:hint="eastAsia" w:eastAsia="仿宋"/>
                <w:lang w:eastAsia="zh-CN"/>
              </w:rPr>
            </w:pPr>
            <w:r>
              <w:rPr>
                <w:rFonts w:ascii="Times New Roman" w:hAnsi="Times New Roman" w:eastAsia="仿宋"/>
                <w:b w:val="0"/>
                <w:sz w:val="18"/>
              </w:rPr>
              <w:t>小型故障</w:t>
            </w:r>
            <w:r>
              <w:rPr>
                <w:rFonts w:hint="eastAsia"/>
                <w:b w:val="0"/>
                <w:sz w:val="18"/>
                <w:lang w:eastAsia="zh-CN"/>
              </w:rPr>
              <w:t>（</w:t>
            </w:r>
            <w:r>
              <w:rPr>
                <w:rFonts w:hint="eastAsia"/>
                <w:b w:val="0"/>
                <w:sz w:val="18"/>
                <w:lang w:val="en-US" w:eastAsia="zh-CN"/>
              </w:rPr>
              <w:t>负责处理</w:t>
            </w:r>
            <w:r>
              <w:rPr>
                <w:rFonts w:hint="eastAsia"/>
                <w:b w:val="0"/>
                <w:sz w:val="18"/>
                <w:lang w:eastAsia="zh-CN"/>
              </w:rPr>
              <w:t>）</w:t>
            </w:r>
          </w:p>
        </w:tc>
        <w:tc>
          <w:tcPr>
            <w:tcW w:w="1587" w:type="dxa"/>
          </w:tcPr>
          <w:p w14:paraId="7692BC33">
            <w:pPr>
              <w:spacing w:after="0" w:line="276" w:lineRule="auto"/>
            </w:pPr>
            <w:r>
              <w:rPr>
                <w:rFonts w:ascii="Times New Roman" w:hAnsi="Times New Roman" w:eastAsia="仿宋"/>
                <w:b w:val="0"/>
                <w:sz w:val="18"/>
              </w:rPr>
              <w:t>1小时内</w:t>
            </w:r>
          </w:p>
        </w:tc>
        <w:tc>
          <w:tcPr>
            <w:tcW w:w="4819" w:type="dxa"/>
          </w:tcPr>
          <w:p w14:paraId="403A7EF3">
            <w:pPr>
              <w:spacing w:after="0" w:line="276" w:lineRule="auto"/>
            </w:pPr>
            <w:r>
              <w:rPr>
                <w:rFonts w:ascii="Times New Roman" w:hAnsi="Times New Roman" w:eastAsia="仿宋"/>
                <w:b w:val="0"/>
                <w:sz w:val="18"/>
              </w:rPr>
              <w:t>组织维修队伍到场并处置修复</w:t>
            </w:r>
          </w:p>
        </w:tc>
      </w:tr>
      <w:tr w14:paraId="7439C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1" w:type="dxa"/>
          </w:tcPr>
          <w:p w14:paraId="09BF6210">
            <w:pPr>
              <w:spacing w:after="0" w:line="276" w:lineRule="auto"/>
              <w:rPr>
                <w:rFonts w:hint="eastAsia" w:eastAsia="仿宋"/>
                <w:lang w:eastAsia="zh-CN"/>
              </w:rPr>
            </w:pPr>
            <w:r>
              <w:rPr>
                <w:rFonts w:ascii="Times New Roman" w:hAnsi="Times New Roman" w:eastAsia="仿宋"/>
                <w:b w:val="0"/>
                <w:sz w:val="18"/>
              </w:rPr>
              <w:t>中型故障</w:t>
            </w:r>
            <w:r>
              <w:rPr>
                <w:rFonts w:hint="eastAsia"/>
                <w:b w:val="0"/>
                <w:sz w:val="18"/>
                <w:lang w:eastAsia="zh-CN"/>
              </w:rPr>
              <w:t>（</w:t>
            </w:r>
            <w:r>
              <w:rPr>
                <w:rFonts w:hint="eastAsia"/>
                <w:b w:val="0"/>
                <w:sz w:val="18"/>
                <w:lang w:val="en-US" w:eastAsia="zh-CN"/>
              </w:rPr>
              <w:t>提供方案并初步报价协助造价，协调供电部门</w:t>
            </w:r>
            <w:r>
              <w:rPr>
                <w:rFonts w:hint="eastAsia"/>
                <w:b w:val="0"/>
                <w:sz w:val="18"/>
                <w:lang w:eastAsia="zh-CN"/>
              </w:rPr>
              <w:t>）</w:t>
            </w:r>
          </w:p>
        </w:tc>
        <w:tc>
          <w:tcPr>
            <w:tcW w:w="1587" w:type="dxa"/>
          </w:tcPr>
          <w:p w14:paraId="1887FC9A">
            <w:pPr>
              <w:spacing w:after="0" w:line="276" w:lineRule="auto"/>
            </w:pPr>
            <w:r>
              <w:rPr>
                <w:rFonts w:ascii="Times New Roman" w:hAnsi="Times New Roman" w:eastAsia="仿宋"/>
                <w:b w:val="0"/>
                <w:sz w:val="18"/>
              </w:rPr>
              <w:t>1小时内</w:t>
            </w:r>
          </w:p>
        </w:tc>
        <w:tc>
          <w:tcPr>
            <w:tcW w:w="4819" w:type="dxa"/>
          </w:tcPr>
          <w:p w14:paraId="5BF4DB50">
            <w:pPr>
              <w:spacing w:after="0" w:line="276" w:lineRule="auto"/>
            </w:pPr>
            <w:r>
              <w:rPr>
                <w:rFonts w:ascii="Times New Roman" w:hAnsi="Times New Roman" w:eastAsia="仿宋"/>
                <w:b w:val="0"/>
                <w:sz w:val="18"/>
              </w:rPr>
              <w:t>到场后2小时内完成修复</w:t>
            </w:r>
          </w:p>
        </w:tc>
      </w:tr>
      <w:tr w14:paraId="03CB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1" w:type="dxa"/>
          </w:tcPr>
          <w:p w14:paraId="484CA71D">
            <w:pPr>
              <w:spacing w:after="0" w:line="276" w:lineRule="auto"/>
            </w:pPr>
            <w:r>
              <w:rPr>
                <w:rFonts w:ascii="Times New Roman" w:hAnsi="Times New Roman" w:eastAsia="仿宋"/>
                <w:b w:val="0"/>
                <w:sz w:val="18"/>
              </w:rPr>
              <w:t>大型故障、重要设备烧损</w:t>
            </w:r>
          </w:p>
        </w:tc>
        <w:tc>
          <w:tcPr>
            <w:tcW w:w="1587" w:type="dxa"/>
          </w:tcPr>
          <w:p w14:paraId="4BF9F9EB">
            <w:pPr>
              <w:spacing w:after="0" w:line="276" w:lineRule="auto"/>
            </w:pPr>
            <w:r>
              <w:rPr>
                <w:rFonts w:ascii="Times New Roman" w:hAnsi="Times New Roman" w:eastAsia="仿宋"/>
                <w:b w:val="0"/>
                <w:sz w:val="18"/>
              </w:rPr>
              <w:t>半小时内</w:t>
            </w:r>
          </w:p>
        </w:tc>
        <w:tc>
          <w:tcPr>
            <w:tcW w:w="4819" w:type="dxa"/>
          </w:tcPr>
          <w:p w14:paraId="2ADEE103">
            <w:pPr>
              <w:spacing w:after="0" w:line="276" w:lineRule="auto"/>
            </w:pPr>
            <w:r>
              <w:rPr>
                <w:rFonts w:ascii="Times New Roman" w:hAnsi="Times New Roman" w:eastAsia="仿宋"/>
                <w:b w:val="0"/>
                <w:sz w:val="18"/>
              </w:rPr>
              <w:t>立即到场、连续作业、全力最快修复，并做好停电说明解释</w:t>
            </w:r>
          </w:p>
        </w:tc>
      </w:tr>
    </w:tbl>
    <w:p w14:paraId="076332D7">
      <w:pPr>
        <w:spacing w:before="60" w:after="80" w:line="312" w:lineRule="auto"/>
      </w:pPr>
      <w:r>
        <w:rPr>
          <w:rFonts w:ascii="Times New Roman" w:hAnsi="Times New Roman" w:eastAsia="仿宋"/>
          <w:b w:val="0"/>
          <w:sz w:val="21"/>
        </w:rPr>
        <w:t>供应商应设置24小时服务电话，明确项目负责人和值班人员。作业过程中应遵守停电、验电、接地、悬挂标示牌和装设遮栏等安全措施。</w:t>
      </w:r>
    </w:p>
    <w:p w14:paraId="36FDC6F5">
      <w:pPr>
        <w:keepNext/>
        <w:spacing w:before="120" w:after="60"/>
      </w:pPr>
      <w:r>
        <w:rPr>
          <w:rFonts w:ascii="Times New Roman" w:hAnsi="Times New Roman" w:eastAsia="黑体"/>
          <w:b/>
          <w:sz w:val="22"/>
        </w:rPr>
        <w:t>（四）安全工器具定期检测</w:t>
      </w:r>
    </w:p>
    <w:p w14:paraId="43094ECF">
      <w:pPr>
        <w:spacing w:before="0" w:after="80" w:line="312" w:lineRule="auto"/>
      </w:pPr>
      <w:r>
        <w:rPr>
          <w:rFonts w:ascii="Times New Roman" w:hAnsi="Times New Roman" w:eastAsia="仿宋"/>
          <w:b w:val="0"/>
          <w:sz w:val="21"/>
        </w:rPr>
        <w:t>检测对象暂按38件/次执行，最终以现场清点为准。检测机构应具备相应资质，检测合格后应出具报告并在器具上粘贴合格标签、注明有效期。</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474"/>
        <w:gridCol w:w="1247"/>
        <w:gridCol w:w="680"/>
        <w:gridCol w:w="850"/>
        <w:gridCol w:w="3969"/>
      </w:tblGrid>
      <w:tr w14:paraId="3D3D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D9D9D9"/>
          </w:tcPr>
          <w:p w14:paraId="110FE6A3">
            <w:pPr>
              <w:spacing w:after="0" w:line="240" w:lineRule="auto"/>
              <w:jc w:val="center"/>
            </w:pPr>
            <w:r>
              <w:rPr>
                <w:rFonts w:ascii="Times New Roman" w:hAnsi="Times New Roman" w:eastAsia="黑体"/>
                <w:b/>
                <w:sz w:val="18"/>
              </w:rPr>
              <w:t>序号</w:t>
            </w:r>
          </w:p>
        </w:tc>
        <w:tc>
          <w:tcPr>
            <w:tcW w:w="1474" w:type="dxa"/>
            <w:shd w:val="clear" w:color="auto" w:fill="D9D9D9"/>
          </w:tcPr>
          <w:p w14:paraId="200B8464">
            <w:pPr>
              <w:spacing w:after="0" w:line="240" w:lineRule="auto"/>
              <w:jc w:val="center"/>
            </w:pPr>
            <w:r>
              <w:rPr>
                <w:rFonts w:ascii="Times New Roman" w:hAnsi="Times New Roman" w:eastAsia="黑体"/>
                <w:b/>
                <w:sz w:val="18"/>
              </w:rPr>
              <w:t>器具名称</w:t>
            </w:r>
          </w:p>
        </w:tc>
        <w:tc>
          <w:tcPr>
            <w:tcW w:w="1247" w:type="dxa"/>
            <w:shd w:val="clear" w:color="auto" w:fill="D9D9D9"/>
          </w:tcPr>
          <w:p w14:paraId="7BFC15E7">
            <w:pPr>
              <w:spacing w:after="0" w:line="240" w:lineRule="auto"/>
              <w:jc w:val="center"/>
            </w:pPr>
            <w:r>
              <w:rPr>
                <w:rFonts w:ascii="Times New Roman" w:hAnsi="Times New Roman" w:eastAsia="黑体"/>
                <w:b/>
                <w:sz w:val="18"/>
              </w:rPr>
              <w:t>电压等级</w:t>
            </w:r>
          </w:p>
        </w:tc>
        <w:tc>
          <w:tcPr>
            <w:tcW w:w="680" w:type="dxa"/>
            <w:shd w:val="clear" w:color="auto" w:fill="D9D9D9"/>
          </w:tcPr>
          <w:p w14:paraId="6BCC0D0D">
            <w:pPr>
              <w:spacing w:after="0" w:line="240" w:lineRule="auto"/>
              <w:jc w:val="center"/>
            </w:pPr>
            <w:r>
              <w:rPr>
                <w:rFonts w:ascii="Times New Roman" w:hAnsi="Times New Roman" w:eastAsia="黑体"/>
                <w:b/>
                <w:sz w:val="18"/>
              </w:rPr>
              <w:t>单位</w:t>
            </w:r>
          </w:p>
        </w:tc>
        <w:tc>
          <w:tcPr>
            <w:tcW w:w="850" w:type="dxa"/>
            <w:shd w:val="clear" w:color="auto" w:fill="D9D9D9"/>
          </w:tcPr>
          <w:p w14:paraId="7BA0E678">
            <w:pPr>
              <w:spacing w:after="0" w:line="240" w:lineRule="auto"/>
              <w:jc w:val="center"/>
            </w:pPr>
            <w:r>
              <w:rPr>
                <w:rFonts w:ascii="Times New Roman" w:hAnsi="Times New Roman" w:eastAsia="黑体"/>
                <w:b/>
                <w:sz w:val="18"/>
              </w:rPr>
              <w:t>暂定数量</w:t>
            </w:r>
          </w:p>
        </w:tc>
        <w:tc>
          <w:tcPr>
            <w:tcW w:w="3969" w:type="dxa"/>
            <w:shd w:val="clear" w:color="auto" w:fill="D9D9D9"/>
          </w:tcPr>
          <w:p w14:paraId="05C129F3">
            <w:pPr>
              <w:spacing w:after="0" w:line="240" w:lineRule="auto"/>
              <w:jc w:val="center"/>
            </w:pPr>
            <w:r>
              <w:rPr>
                <w:rFonts w:ascii="Times New Roman" w:hAnsi="Times New Roman" w:eastAsia="黑体"/>
                <w:b/>
                <w:sz w:val="18"/>
              </w:rPr>
              <w:t>检测要求</w:t>
            </w:r>
          </w:p>
        </w:tc>
      </w:tr>
      <w:tr w14:paraId="48AD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2F4F1973">
            <w:pPr>
              <w:spacing w:after="0" w:line="276" w:lineRule="auto"/>
            </w:pPr>
            <w:r>
              <w:rPr>
                <w:rFonts w:ascii="Times New Roman" w:hAnsi="Times New Roman" w:eastAsia="仿宋"/>
                <w:b w:val="0"/>
                <w:sz w:val="18"/>
              </w:rPr>
              <w:t>1</w:t>
            </w:r>
          </w:p>
        </w:tc>
        <w:tc>
          <w:tcPr>
            <w:tcW w:w="1474" w:type="dxa"/>
          </w:tcPr>
          <w:p w14:paraId="7D1AE338">
            <w:pPr>
              <w:spacing w:after="0" w:line="276" w:lineRule="auto"/>
            </w:pPr>
            <w:r>
              <w:rPr>
                <w:rFonts w:ascii="Times New Roman" w:hAnsi="Times New Roman" w:eastAsia="仿宋"/>
                <w:b w:val="0"/>
                <w:sz w:val="18"/>
              </w:rPr>
              <w:t>绝缘手套</w:t>
            </w:r>
          </w:p>
        </w:tc>
        <w:tc>
          <w:tcPr>
            <w:tcW w:w="1247" w:type="dxa"/>
          </w:tcPr>
          <w:p w14:paraId="1A4DB1CC">
            <w:pPr>
              <w:spacing w:after="0" w:line="276" w:lineRule="auto"/>
            </w:pPr>
            <w:r>
              <w:rPr>
                <w:rFonts w:ascii="Times New Roman" w:hAnsi="Times New Roman" w:eastAsia="仿宋"/>
                <w:b w:val="0"/>
                <w:sz w:val="18"/>
              </w:rPr>
              <w:t>10kV</w:t>
            </w:r>
          </w:p>
        </w:tc>
        <w:tc>
          <w:tcPr>
            <w:tcW w:w="680" w:type="dxa"/>
          </w:tcPr>
          <w:p w14:paraId="346DF31D">
            <w:pPr>
              <w:spacing w:after="0" w:line="276" w:lineRule="auto"/>
            </w:pPr>
            <w:r>
              <w:rPr>
                <w:rFonts w:ascii="Times New Roman" w:hAnsi="Times New Roman" w:eastAsia="仿宋"/>
                <w:b w:val="0"/>
                <w:sz w:val="18"/>
              </w:rPr>
              <w:t>付</w:t>
            </w:r>
          </w:p>
        </w:tc>
        <w:tc>
          <w:tcPr>
            <w:tcW w:w="850" w:type="dxa"/>
          </w:tcPr>
          <w:p w14:paraId="785DD129">
            <w:pPr>
              <w:spacing w:after="0" w:line="276" w:lineRule="auto"/>
            </w:pPr>
            <w:r>
              <w:rPr>
                <w:rFonts w:ascii="Times New Roman" w:hAnsi="Times New Roman" w:eastAsia="仿宋"/>
                <w:b w:val="0"/>
                <w:sz w:val="18"/>
              </w:rPr>
              <w:t>8</w:t>
            </w:r>
          </w:p>
        </w:tc>
        <w:tc>
          <w:tcPr>
            <w:tcW w:w="3969" w:type="dxa"/>
          </w:tcPr>
          <w:p w14:paraId="5DAF160A">
            <w:pPr>
              <w:spacing w:after="0" w:line="276" w:lineRule="auto"/>
            </w:pPr>
            <w:r>
              <w:rPr>
                <w:rFonts w:ascii="Times New Roman" w:hAnsi="Times New Roman" w:eastAsia="仿宋"/>
                <w:b w:val="0"/>
                <w:sz w:val="18"/>
              </w:rPr>
              <w:t>按规程进行预防性试验并出具合格报告</w:t>
            </w:r>
          </w:p>
        </w:tc>
      </w:tr>
      <w:tr w14:paraId="4BA6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12F6A1E3">
            <w:pPr>
              <w:spacing w:after="0" w:line="276" w:lineRule="auto"/>
            </w:pPr>
            <w:r>
              <w:rPr>
                <w:rFonts w:ascii="Times New Roman" w:hAnsi="Times New Roman" w:eastAsia="仿宋"/>
                <w:b w:val="0"/>
                <w:sz w:val="18"/>
              </w:rPr>
              <w:t>2</w:t>
            </w:r>
          </w:p>
        </w:tc>
        <w:tc>
          <w:tcPr>
            <w:tcW w:w="1474" w:type="dxa"/>
          </w:tcPr>
          <w:p w14:paraId="7E866770">
            <w:pPr>
              <w:spacing w:after="0" w:line="276" w:lineRule="auto"/>
            </w:pPr>
            <w:r>
              <w:rPr>
                <w:rFonts w:ascii="Times New Roman" w:hAnsi="Times New Roman" w:eastAsia="仿宋"/>
                <w:b w:val="0"/>
                <w:sz w:val="18"/>
              </w:rPr>
              <w:t>绝缘靴</w:t>
            </w:r>
          </w:p>
        </w:tc>
        <w:tc>
          <w:tcPr>
            <w:tcW w:w="1247" w:type="dxa"/>
          </w:tcPr>
          <w:p w14:paraId="64715DE6">
            <w:pPr>
              <w:spacing w:after="0" w:line="276" w:lineRule="auto"/>
            </w:pPr>
            <w:r>
              <w:rPr>
                <w:rFonts w:ascii="Times New Roman" w:hAnsi="Times New Roman" w:eastAsia="仿宋"/>
                <w:b w:val="0"/>
                <w:sz w:val="18"/>
              </w:rPr>
              <w:t>10kV</w:t>
            </w:r>
          </w:p>
        </w:tc>
        <w:tc>
          <w:tcPr>
            <w:tcW w:w="680" w:type="dxa"/>
          </w:tcPr>
          <w:p w14:paraId="412E78FC">
            <w:pPr>
              <w:spacing w:after="0" w:line="276" w:lineRule="auto"/>
            </w:pPr>
            <w:r>
              <w:rPr>
                <w:rFonts w:ascii="Times New Roman" w:hAnsi="Times New Roman" w:eastAsia="仿宋"/>
                <w:b w:val="0"/>
                <w:sz w:val="18"/>
              </w:rPr>
              <w:t>双</w:t>
            </w:r>
          </w:p>
        </w:tc>
        <w:tc>
          <w:tcPr>
            <w:tcW w:w="850" w:type="dxa"/>
          </w:tcPr>
          <w:p w14:paraId="6B5B4167">
            <w:pPr>
              <w:spacing w:after="0" w:line="276" w:lineRule="auto"/>
            </w:pPr>
            <w:r>
              <w:rPr>
                <w:rFonts w:ascii="Times New Roman" w:hAnsi="Times New Roman" w:eastAsia="仿宋"/>
                <w:b w:val="0"/>
                <w:sz w:val="18"/>
              </w:rPr>
              <w:t>8</w:t>
            </w:r>
          </w:p>
        </w:tc>
        <w:tc>
          <w:tcPr>
            <w:tcW w:w="3969" w:type="dxa"/>
          </w:tcPr>
          <w:p w14:paraId="7CC8BEF6">
            <w:pPr>
              <w:spacing w:after="0" w:line="276" w:lineRule="auto"/>
            </w:pPr>
            <w:r>
              <w:rPr>
                <w:rFonts w:ascii="Times New Roman" w:hAnsi="Times New Roman" w:eastAsia="仿宋"/>
                <w:b w:val="0"/>
                <w:sz w:val="18"/>
              </w:rPr>
              <w:t>按规程进行预防性试验并出具合格报告</w:t>
            </w:r>
          </w:p>
        </w:tc>
      </w:tr>
      <w:tr w14:paraId="7F01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7E2B19E6">
            <w:pPr>
              <w:spacing w:after="0" w:line="276" w:lineRule="auto"/>
            </w:pPr>
            <w:r>
              <w:rPr>
                <w:rFonts w:ascii="Times New Roman" w:hAnsi="Times New Roman" w:eastAsia="仿宋"/>
                <w:b w:val="0"/>
                <w:sz w:val="18"/>
              </w:rPr>
              <w:t>3</w:t>
            </w:r>
          </w:p>
        </w:tc>
        <w:tc>
          <w:tcPr>
            <w:tcW w:w="1474" w:type="dxa"/>
          </w:tcPr>
          <w:p w14:paraId="11CAA64E">
            <w:pPr>
              <w:spacing w:after="0" w:line="276" w:lineRule="auto"/>
            </w:pPr>
            <w:r>
              <w:rPr>
                <w:rFonts w:ascii="Times New Roman" w:hAnsi="Times New Roman" w:eastAsia="仿宋"/>
                <w:b w:val="0"/>
                <w:sz w:val="18"/>
              </w:rPr>
              <w:t>安全帽</w:t>
            </w:r>
          </w:p>
        </w:tc>
        <w:tc>
          <w:tcPr>
            <w:tcW w:w="1247" w:type="dxa"/>
          </w:tcPr>
          <w:p w14:paraId="55F72A66">
            <w:pPr>
              <w:spacing w:after="0" w:line="276" w:lineRule="auto"/>
            </w:pPr>
            <w:r>
              <w:rPr>
                <w:rFonts w:ascii="Times New Roman" w:hAnsi="Times New Roman" w:eastAsia="仿宋"/>
                <w:b w:val="0"/>
                <w:sz w:val="18"/>
              </w:rPr>
              <w:t>通用</w:t>
            </w:r>
          </w:p>
        </w:tc>
        <w:tc>
          <w:tcPr>
            <w:tcW w:w="680" w:type="dxa"/>
          </w:tcPr>
          <w:p w14:paraId="467F7E4A">
            <w:pPr>
              <w:spacing w:after="0" w:line="276" w:lineRule="auto"/>
            </w:pPr>
            <w:r>
              <w:rPr>
                <w:rFonts w:ascii="Times New Roman" w:hAnsi="Times New Roman" w:eastAsia="仿宋"/>
                <w:b w:val="0"/>
                <w:sz w:val="18"/>
              </w:rPr>
              <w:t>顶</w:t>
            </w:r>
          </w:p>
        </w:tc>
        <w:tc>
          <w:tcPr>
            <w:tcW w:w="850" w:type="dxa"/>
          </w:tcPr>
          <w:p w14:paraId="55A52F48">
            <w:pPr>
              <w:spacing w:after="0" w:line="276" w:lineRule="auto"/>
            </w:pPr>
            <w:r>
              <w:rPr>
                <w:rFonts w:ascii="Times New Roman" w:hAnsi="Times New Roman" w:eastAsia="仿宋"/>
                <w:b w:val="0"/>
                <w:sz w:val="18"/>
              </w:rPr>
              <w:t>8</w:t>
            </w:r>
          </w:p>
        </w:tc>
        <w:tc>
          <w:tcPr>
            <w:tcW w:w="3969" w:type="dxa"/>
          </w:tcPr>
          <w:p w14:paraId="6944D31D">
            <w:pPr>
              <w:spacing w:after="0" w:line="276" w:lineRule="auto"/>
            </w:pPr>
            <w:r>
              <w:rPr>
                <w:rFonts w:ascii="Times New Roman" w:hAnsi="Times New Roman" w:eastAsia="仿宋"/>
                <w:b w:val="0"/>
                <w:sz w:val="18"/>
              </w:rPr>
              <w:t>外观、标识、有效期等检查</w:t>
            </w:r>
          </w:p>
        </w:tc>
      </w:tr>
      <w:tr w14:paraId="6524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3DB845FA">
            <w:pPr>
              <w:spacing w:after="0" w:line="276" w:lineRule="auto"/>
            </w:pPr>
            <w:r>
              <w:rPr>
                <w:rFonts w:ascii="Times New Roman" w:hAnsi="Times New Roman" w:eastAsia="仿宋"/>
                <w:b w:val="0"/>
                <w:sz w:val="18"/>
              </w:rPr>
              <w:t>4</w:t>
            </w:r>
          </w:p>
        </w:tc>
        <w:tc>
          <w:tcPr>
            <w:tcW w:w="1474" w:type="dxa"/>
          </w:tcPr>
          <w:p w14:paraId="3887D008">
            <w:pPr>
              <w:spacing w:after="0" w:line="276" w:lineRule="auto"/>
            </w:pPr>
            <w:r>
              <w:rPr>
                <w:rFonts w:ascii="Times New Roman" w:hAnsi="Times New Roman" w:eastAsia="仿宋"/>
                <w:b w:val="0"/>
                <w:sz w:val="18"/>
              </w:rPr>
              <w:t>接地线</w:t>
            </w:r>
          </w:p>
        </w:tc>
        <w:tc>
          <w:tcPr>
            <w:tcW w:w="1247" w:type="dxa"/>
          </w:tcPr>
          <w:p w14:paraId="6F57E721">
            <w:pPr>
              <w:spacing w:after="0" w:line="276" w:lineRule="auto"/>
            </w:pPr>
            <w:r>
              <w:rPr>
                <w:rFonts w:ascii="Times New Roman" w:hAnsi="Times New Roman" w:eastAsia="仿宋"/>
                <w:b w:val="0"/>
                <w:sz w:val="18"/>
              </w:rPr>
              <w:t>10kV/0.4kV</w:t>
            </w:r>
          </w:p>
        </w:tc>
        <w:tc>
          <w:tcPr>
            <w:tcW w:w="680" w:type="dxa"/>
          </w:tcPr>
          <w:p w14:paraId="77E23556">
            <w:pPr>
              <w:spacing w:after="0" w:line="276" w:lineRule="auto"/>
            </w:pPr>
            <w:r>
              <w:rPr>
                <w:rFonts w:ascii="Times New Roman" w:hAnsi="Times New Roman" w:eastAsia="仿宋"/>
                <w:b w:val="0"/>
                <w:sz w:val="18"/>
              </w:rPr>
              <w:t>组</w:t>
            </w:r>
          </w:p>
        </w:tc>
        <w:tc>
          <w:tcPr>
            <w:tcW w:w="850" w:type="dxa"/>
          </w:tcPr>
          <w:p w14:paraId="6A72D87C">
            <w:pPr>
              <w:spacing w:after="0" w:line="276" w:lineRule="auto"/>
            </w:pPr>
            <w:r>
              <w:rPr>
                <w:rFonts w:ascii="Times New Roman" w:hAnsi="Times New Roman" w:eastAsia="仿宋"/>
                <w:b w:val="0"/>
                <w:sz w:val="18"/>
              </w:rPr>
              <w:t>4</w:t>
            </w:r>
          </w:p>
        </w:tc>
        <w:tc>
          <w:tcPr>
            <w:tcW w:w="3969" w:type="dxa"/>
          </w:tcPr>
          <w:p w14:paraId="1FF293D7">
            <w:pPr>
              <w:spacing w:after="0" w:line="276" w:lineRule="auto"/>
            </w:pPr>
            <w:r>
              <w:rPr>
                <w:rFonts w:ascii="Times New Roman" w:hAnsi="Times New Roman" w:eastAsia="仿宋"/>
                <w:b w:val="0"/>
                <w:sz w:val="18"/>
              </w:rPr>
              <w:t>按规程进行预防性试验并出具合格报告</w:t>
            </w:r>
          </w:p>
        </w:tc>
      </w:tr>
      <w:tr w14:paraId="668F8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7C181025">
            <w:pPr>
              <w:spacing w:after="0" w:line="276" w:lineRule="auto"/>
            </w:pPr>
            <w:r>
              <w:rPr>
                <w:rFonts w:ascii="Times New Roman" w:hAnsi="Times New Roman" w:eastAsia="仿宋"/>
                <w:b w:val="0"/>
                <w:sz w:val="18"/>
              </w:rPr>
              <w:t>5</w:t>
            </w:r>
          </w:p>
        </w:tc>
        <w:tc>
          <w:tcPr>
            <w:tcW w:w="1474" w:type="dxa"/>
          </w:tcPr>
          <w:p w14:paraId="4194F1D9">
            <w:pPr>
              <w:spacing w:after="0" w:line="276" w:lineRule="auto"/>
            </w:pPr>
            <w:r>
              <w:rPr>
                <w:rFonts w:ascii="Times New Roman" w:hAnsi="Times New Roman" w:eastAsia="仿宋"/>
                <w:b w:val="0"/>
                <w:sz w:val="18"/>
              </w:rPr>
              <w:t>高压验电器</w:t>
            </w:r>
          </w:p>
        </w:tc>
        <w:tc>
          <w:tcPr>
            <w:tcW w:w="1247" w:type="dxa"/>
          </w:tcPr>
          <w:p w14:paraId="7A4B91F4">
            <w:pPr>
              <w:spacing w:after="0" w:line="276" w:lineRule="auto"/>
            </w:pPr>
            <w:r>
              <w:rPr>
                <w:rFonts w:ascii="Times New Roman" w:hAnsi="Times New Roman" w:eastAsia="仿宋"/>
                <w:b w:val="0"/>
                <w:sz w:val="18"/>
              </w:rPr>
              <w:t>10kV</w:t>
            </w:r>
          </w:p>
        </w:tc>
        <w:tc>
          <w:tcPr>
            <w:tcW w:w="680" w:type="dxa"/>
          </w:tcPr>
          <w:p w14:paraId="1E542896">
            <w:pPr>
              <w:spacing w:after="0" w:line="276" w:lineRule="auto"/>
            </w:pPr>
            <w:r>
              <w:rPr>
                <w:rFonts w:ascii="Times New Roman" w:hAnsi="Times New Roman" w:eastAsia="仿宋"/>
                <w:b w:val="0"/>
                <w:sz w:val="18"/>
              </w:rPr>
              <w:t>只</w:t>
            </w:r>
          </w:p>
        </w:tc>
        <w:tc>
          <w:tcPr>
            <w:tcW w:w="850" w:type="dxa"/>
          </w:tcPr>
          <w:p w14:paraId="1214E1C3">
            <w:pPr>
              <w:spacing w:after="0" w:line="276" w:lineRule="auto"/>
            </w:pPr>
            <w:r>
              <w:rPr>
                <w:rFonts w:ascii="Times New Roman" w:hAnsi="Times New Roman" w:eastAsia="仿宋"/>
                <w:b w:val="0"/>
                <w:sz w:val="18"/>
              </w:rPr>
              <w:t>4</w:t>
            </w:r>
          </w:p>
        </w:tc>
        <w:tc>
          <w:tcPr>
            <w:tcW w:w="3969" w:type="dxa"/>
          </w:tcPr>
          <w:p w14:paraId="7EB3A5B4">
            <w:pPr>
              <w:spacing w:after="0" w:line="276" w:lineRule="auto"/>
            </w:pPr>
            <w:r>
              <w:rPr>
                <w:rFonts w:ascii="Times New Roman" w:hAnsi="Times New Roman" w:eastAsia="仿宋"/>
                <w:b w:val="0"/>
                <w:sz w:val="18"/>
              </w:rPr>
              <w:t>按规程进行预防性试验并出具合格报告</w:t>
            </w:r>
          </w:p>
        </w:tc>
      </w:tr>
      <w:tr w14:paraId="549B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771E72B9">
            <w:pPr>
              <w:spacing w:after="0" w:line="276" w:lineRule="auto"/>
            </w:pPr>
            <w:r>
              <w:rPr>
                <w:rFonts w:ascii="Times New Roman" w:hAnsi="Times New Roman" w:eastAsia="仿宋"/>
                <w:b w:val="0"/>
                <w:sz w:val="18"/>
              </w:rPr>
              <w:t>6</w:t>
            </w:r>
          </w:p>
        </w:tc>
        <w:tc>
          <w:tcPr>
            <w:tcW w:w="1474" w:type="dxa"/>
          </w:tcPr>
          <w:p w14:paraId="5EBE8922">
            <w:pPr>
              <w:spacing w:after="0" w:line="276" w:lineRule="auto"/>
            </w:pPr>
            <w:r>
              <w:rPr>
                <w:rFonts w:ascii="Times New Roman" w:hAnsi="Times New Roman" w:eastAsia="仿宋"/>
                <w:b w:val="0"/>
                <w:sz w:val="18"/>
              </w:rPr>
              <w:t>低压验电器</w:t>
            </w:r>
          </w:p>
        </w:tc>
        <w:tc>
          <w:tcPr>
            <w:tcW w:w="1247" w:type="dxa"/>
          </w:tcPr>
          <w:p w14:paraId="297E6484">
            <w:pPr>
              <w:spacing w:after="0" w:line="276" w:lineRule="auto"/>
            </w:pPr>
            <w:r>
              <w:rPr>
                <w:rFonts w:ascii="Times New Roman" w:hAnsi="Times New Roman" w:eastAsia="仿宋"/>
                <w:b w:val="0"/>
                <w:sz w:val="18"/>
              </w:rPr>
              <w:t>0.4kV</w:t>
            </w:r>
          </w:p>
        </w:tc>
        <w:tc>
          <w:tcPr>
            <w:tcW w:w="680" w:type="dxa"/>
          </w:tcPr>
          <w:p w14:paraId="31028EB2">
            <w:pPr>
              <w:spacing w:after="0" w:line="276" w:lineRule="auto"/>
            </w:pPr>
            <w:r>
              <w:rPr>
                <w:rFonts w:ascii="Times New Roman" w:hAnsi="Times New Roman" w:eastAsia="仿宋"/>
                <w:b w:val="0"/>
                <w:sz w:val="18"/>
              </w:rPr>
              <w:t>只</w:t>
            </w:r>
          </w:p>
        </w:tc>
        <w:tc>
          <w:tcPr>
            <w:tcW w:w="850" w:type="dxa"/>
          </w:tcPr>
          <w:p w14:paraId="4AEBAA0D">
            <w:pPr>
              <w:spacing w:after="0" w:line="276" w:lineRule="auto"/>
            </w:pPr>
            <w:r>
              <w:rPr>
                <w:rFonts w:ascii="Times New Roman" w:hAnsi="Times New Roman" w:eastAsia="仿宋"/>
                <w:b w:val="0"/>
                <w:sz w:val="18"/>
              </w:rPr>
              <w:t>2</w:t>
            </w:r>
          </w:p>
        </w:tc>
        <w:tc>
          <w:tcPr>
            <w:tcW w:w="3969" w:type="dxa"/>
          </w:tcPr>
          <w:p w14:paraId="5B4EEDBC">
            <w:pPr>
              <w:spacing w:after="0" w:line="276" w:lineRule="auto"/>
            </w:pPr>
            <w:r>
              <w:rPr>
                <w:rFonts w:ascii="Times New Roman" w:hAnsi="Times New Roman" w:eastAsia="仿宋"/>
                <w:b w:val="0"/>
                <w:sz w:val="18"/>
              </w:rPr>
              <w:t>按规程进行预防性试验并出具合格报告</w:t>
            </w:r>
          </w:p>
        </w:tc>
      </w:tr>
      <w:tr w14:paraId="67D2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6466125A">
            <w:pPr>
              <w:spacing w:after="0" w:line="276" w:lineRule="auto"/>
            </w:pPr>
            <w:r>
              <w:rPr>
                <w:rFonts w:ascii="Times New Roman" w:hAnsi="Times New Roman" w:eastAsia="仿宋"/>
                <w:b w:val="0"/>
                <w:sz w:val="18"/>
              </w:rPr>
              <w:t>7</w:t>
            </w:r>
          </w:p>
        </w:tc>
        <w:tc>
          <w:tcPr>
            <w:tcW w:w="1474" w:type="dxa"/>
          </w:tcPr>
          <w:p w14:paraId="4DA8842C">
            <w:pPr>
              <w:spacing w:after="0" w:line="276" w:lineRule="auto"/>
            </w:pPr>
            <w:r>
              <w:rPr>
                <w:rFonts w:ascii="Times New Roman" w:hAnsi="Times New Roman" w:eastAsia="仿宋"/>
                <w:b w:val="0"/>
                <w:sz w:val="18"/>
              </w:rPr>
              <w:t>令克棒</w:t>
            </w:r>
          </w:p>
        </w:tc>
        <w:tc>
          <w:tcPr>
            <w:tcW w:w="1247" w:type="dxa"/>
          </w:tcPr>
          <w:p w14:paraId="347A7EE2">
            <w:pPr>
              <w:spacing w:after="0" w:line="276" w:lineRule="auto"/>
            </w:pPr>
            <w:r>
              <w:rPr>
                <w:rFonts w:ascii="Times New Roman" w:hAnsi="Times New Roman" w:eastAsia="仿宋"/>
                <w:b w:val="0"/>
                <w:sz w:val="18"/>
              </w:rPr>
              <w:t>10kV</w:t>
            </w:r>
          </w:p>
        </w:tc>
        <w:tc>
          <w:tcPr>
            <w:tcW w:w="680" w:type="dxa"/>
          </w:tcPr>
          <w:p w14:paraId="771DD29A">
            <w:pPr>
              <w:spacing w:after="0" w:line="276" w:lineRule="auto"/>
            </w:pPr>
            <w:r>
              <w:rPr>
                <w:rFonts w:ascii="Times New Roman" w:hAnsi="Times New Roman" w:eastAsia="仿宋"/>
                <w:b w:val="0"/>
                <w:sz w:val="18"/>
              </w:rPr>
              <w:t>支</w:t>
            </w:r>
          </w:p>
        </w:tc>
        <w:tc>
          <w:tcPr>
            <w:tcW w:w="850" w:type="dxa"/>
          </w:tcPr>
          <w:p w14:paraId="37579DDD">
            <w:pPr>
              <w:spacing w:after="0" w:line="276" w:lineRule="auto"/>
            </w:pPr>
            <w:r>
              <w:rPr>
                <w:rFonts w:ascii="Times New Roman" w:hAnsi="Times New Roman" w:eastAsia="仿宋"/>
                <w:b w:val="0"/>
                <w:sz w:val="18"/>
              </w:rPr>
              <w:t>4</w:t>
            </w:r>
          </w:p>
        </w:tc>
        <w:tc>
          <w:tcPr>
            <w:tcW w:w="3969" w:type="dxa"/>
          </w:tcPr>
          <w:p w14:paraId="19C65C31">
            <w:pPr>
              <w:spacing w:after="0" w:line="276" w:lineRule="auto"/>
            </w:pPr>
            <w:r>
              <w:rPr>
                <w:rFonts w:ascii="Times New Roman" w:hAnsi="Times New Roman" w:eastAsia="仿宋"/>
                <w:b w:val="0"/>
                <w:sz w:val="18"/>
              </w:rPr>
              <w:t>按规程进行预防性试验并出具合格报告</w:t>
            </w:r>
          </w:p>
        </w:tc>
      </w:tr>
    </w:tbl>
    <w:p w14:paraId="3E5DBA63">
      <w:pPr>
        <w:keepNext/>
        <w:spacing w:before="120" w:after="60"/>
      </w:pPr>
      <w:r>
        <w:rPr>
          <w:rFonts w:ascii="Times New Roman" w:hAnsi="Times New Roman" w:eastAsia="黑体"/>
          <w:b/>
          <w:sz w:val="22"/>
        </w:rPr>
        <w:t>（五）安全工器具必要补充采购</w:t>
      </w:r>
    </w:p>
    <w:p w14:paraId="4AB97D49">
      <w:pPr>
        <w:spacing w:before="0" w:after="80" w:line="312" w:lineRule="auto"/>
      </w:pPr>
      <w:r>
        <w:rPr>
          <w:rFonts w:ascii="Times New Roman" w:hAnsi="Times New Roman" w:eastAsia="仿宋"/>
          <w:b w:val="0"/>
          <w:sz w:val="21"/>
        </w:rPr>
        <w:t>补充采购暂按下表执行，供应商应提供合格证、产品说明书及必要的检验报告，到货后由采购人验收并登记台账。</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928"/>
        <w:gridCol w:w="794"/>
        <w:gridCol w:w="794"/>
        <w:gridCol w:w="1304"/>
        <w:gridCol w:w="1417"/>
      </w:tblGrid>
      <w:tr w14:paraId="21C6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D9D9D9"/>
          </w:tcPr>
          <w:p w14:paraId="25A6F035">
            <w:pPr>
              <w:spacing w:after="0" w:line="240" w:lineRule="auto"/>
              <w:jc w:val="center"/>
            </w:pPr>
            <w:r>
              <w:rPr>
                <w:rFonts w:ascii="Times New Roman" w:hAnsi="Times New Roman" w:eastAsia="黑体"/>
                <w:b/>
                <w:sz w:val="18"/>
              </w:rPr>
              <w:t>序号</w:t>
            </w:r>
          </w:p>
        </w:tc>
        <w:tc>
          <w:tcPr>
            <w:tcW w:w="1928" w:type="dxa"/>
            <w:shd w:val="clear" w:color="auto" w:fill="D9D9D9"/>
          </w:tcPr>
          <w:p w14:paraId="5EC234B3">
            <w:pPr>
              <w:spacing w:after="0" w:line="240" w:lineRule="auto"/>
              <w:jc w:val="center"/>
            </w:pPr>
            <w:r>
              <w:rPr>
                <w:rFonts w:ascii="Times New Roman" w:hAnsi="Times New Roman" w:eastAsia="黑体"/>
                <w:b/>
                <w:sz w:val="18"/>
              </w:rPr>
              <w:t>名称</w:t>
            </w:r>
          </w:p>
        </w:tc>
        <w:tc>
          <w:tcPr>
            <w:tcW w:w="794" w:type="dxa"/>
            <w:shd w:val="clear" w:color="auto" w:fill="D9D9D9"/>
          </w:tcPr>
          <w:p w14:paraId="5331A0F8">
            <w:pPr>
              <w:spacing w:after="0" w:line="240" w:lineRule="auto"/>
              <w:jc w:val="center"/>
            </w:pPr>
            <w:r>
              <w:rPr>
                <w:rFonts w:ascii="Times New Roman" w:hAnsi="Times New Roman" w:eastAsia="黑体"/>
                <w:b/>
                <w:sz w:val="18"/>
              </w:rPr>
              <w:t>单位</w:t>
            </w:r>
          </w:p>
        </w:tc>
        <w:tc>
          <w:tcPr>
            <w:tcW w:w="794" w:type="dxa"/>
            <w:shd w:val="clear" w:color="auto" w:fill="D9D9D9"/>
          </w:tcPr>
          <w:p w14:paraId="444FCA90">
            <w:pPr>
              <w:spacing w:after="0" w:line="240" w:lineRule="auto"/>
              <w:jc w:val="center"/>
            </w:pPr>
            <w:r>
              <w:rPr>
                <w:rFonts w:ascii="Times New Roman" w:hAnsi="Times New Roman" w:eastAsia="黑体"/>
                <w:b/>
                <w:sz w:val="18"/>
              </w:rPr>
              <w:t>数量</w:t>
            </w:r>
          </w:p>
        </w:tc>
        <w:tc>
          <w:tcPr>
            <w:tcW w:w="1304" w:type="dxa"/>
            <w:shd w:val="clear" w:color="auto" w:fill="D9D9D9"/>
          </w:tcPr>
          <w:p w14:paraId="3620F539">
            <w:pPr>
              <w:spacing w:after="0" w:line="240" w:lineRule="auto"/>
              <w:jc w:val="center"/>
            </w:pPr>
            <w:r>
              <w:rPr>
                <w:rFonts w:ascii="Times New Roman" w:hAnsi="Times New Roman" w:eastAsia="黑体"/>
                <w:b/>
                <w:sz w:val="18"/>
              </w:rPr>
              <w:t>参考单价（元）</w:t>
            </w:r>
          </w:p>
        </w:tc>
        <w:tc>
          <w:tcPr>
            <w:tcW w:w="1417" w:type="dxa"/>
            <w:shd w:val="clear" w:color="auto" w:fill="D9D9D9"/>
          </w:tcPr>
          <w:p w14:paraId="438786D0">
            <w:pPr>
              <w:spacing w:after="0" w:line="240" w:lineRule="auto"/>
              <w:jc w:val="center"/>
            </w:pPr>
            <w:r>
              <w:rPr>
                <w:rFonts w:ascii="Times New Roman" w:hAnsi="Times New Roman" w:eastAsia="黑体"/>
                <w:b/>
                <w:sz w:val="18"/>
              </w:rPr>
              <w:t>参考小计（元）</w:t>
            </w:r>
          </w:p>
        </w:tc>
      </w:tr>
      <w:tr w14:paraId="7740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5B4BD39C">
            <w:pPr>
              <w:spacing w:after="0" w:line="276" w:lineRule="auto"/>
            </w:pPr>
            <w:r>
              <w:rPr>
                <w:rFonts w:ascii="Times New Roman" w:hAnsi="Times New Roman" w:eastAsia="仿宋"/>
                <w:b w:val="0"/>
                <w:sz w:val="18"/>
              </w:rPr>
              <w:t>1</w:t>
            </w:r>
          </w:p>
        </w:tc>
        <w:tc>
          <w:tcPr>
            <w:tcW w:w="1928" w:type="dxa"/>
          </w:tcPr>
          <w:p w14:paraId="23104E1D">
            <w:pPr>
              <w:spacing w:after="0" w:line="276" w:lineRule="auto"/>
            </w:pPr>
            <w:r>
              <w:rPr>
                <w:rFonts w:ascii="Times New Roman" w:hAnsi="Times New Roman" w:eastAsia="仿宋"/>
                <w:b w:val="0"/>
                <w:sz w:val="18"/>
              </w:rPr>
              <w:t>10kV绝缘手套</w:t>
            </w:r>
          </w:p>
        </w:tc>
        <w:tc>
          <w:tcPr>
            <w:tcW w:w="794" w:type="dxa"/>
          </w:tcPr>
          <w:p w14:paraId="5490B122">
            <w:pPr>
              <w:spacing w:after="0" w:line="276" w:lineRule="auto"/>
            </w:pPr>
            <w:r>
              <w:rPr>
                <w:rFonts w:ascii="Times New Roman" w:hAnsi="Times New Roman" w:eastAsia="仿宋"/>
                <w:b w:val="0"/>
                <w:sz w:val="18"/>
              </w:rPr>
              <w:t>付</w:t>
            </w:r>
          </w:p>
        </w:tc>
        <w:tc>
          <w:tcPr>
            <w:tcW w:w="794" w:type="dxa"/>
          </w:tcPr>
          <w:p w14:paraId="069CE8B6">
            <w:pPr>
              <w:spacing w:after="0" w:line="276" w:lineRule="auto"/>
            </w:pPr>
            <w:r>
              <w:rPr>
                <w:rFonts w:ascii="Times New Roman" w:hAnsi="Times New Roman" w:eastAsia="仿宋"/>
                <w:b w:val="0"/>
                <w:sz w:val="18"/>
              </w:rPr>
              <w:t>4</w:t>
            </w:r>
          </w:p>
        </w:tc>
        <w:tc>
          <w:tcPr>
            <w:tcW w:w="1304" w:type="dxa"/>
          </w:tcPr>
          <w:p w14:paraId="468416B9">
            <w:pPr>
              <w:spacing w:after="0" w:line="276" w:lineRule="auto"/>
            </w:pPr>
            <w:r>
              <w:rPr>
                <w:rFonts w:ascii="Times New Roman" w:hAnsi="Times New Roman" w:eastAsia="仿宋"/>
                <w:b w:val="0"/>
                <w:sz w:val="18"/>
              </w:rPr>
              <w:t>33</w:t>
            </w:r>
          </w:p>
        </w:tc>
        <w:tc>
          <w:tcPr>
            <w:tcW w:w="1417" w:type="dxa"/>
          </w:tcPr>
          <w:p w14:paraId="47D7E6B8">
            <w:pPr>
              <w:spacing w:after="0" w:line="276" w:lineRule="auto"/>
            </w:pPr>
            <w:r>
              <w:rPr>
                <w:rFonts w:ascii="Times New Roman" w:hAnsi="Times New Roman" w:eastAsia="仿宋"/>
                <w:b w:val="0"/>
                <w:sz w:val="18"/>
              </w:rPr>
              <w:t>132</w:t>
            </w:r>
          </w:p>
        </w:tc>
      </w:tr>
      <w:tr w14:paraId="01EE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132E0005">
            <w:pPr>
              <w:spacing w:after="0" w:line="276" w:lineRule="auto"/>
            </w:pPr>
            <w:r>
              <w:rPr>
                <w:rFonts w:ascii="Times New Roman" w:hAnsi="Times New Roman" w:eastAsia="仿宋"/>
                <w:b w:val="0"/>
                <w:sz w:val="18"/>
              </w:rPr>
              <w:t>2</w:t>
            </w:r>
          </w:p>
        </w:tc>
        <w:tc>
          <w:tcPr>
            <w:tcW w:w="1928" w:type="dxa"/>
          </w:tcPr>
          <w:p w14:paraId="5C57CCE7">
            <w:pPr>
              <w:spacing w:after="0" w:line="276" w:lineRule="auto"/>
            </w:pPr>
            <w:r>
              <w:rPr>
                <w:rFonts w:ascii="Times New Roman" w:hAnsi="Times New Roman" w:eastAsia="仿宋"/>
                <w:b w:val="0"/>
                <w:sz w:val="18"/>
              </w:rPr>
              <w:t>10kV绝缘靴</w:t>
            </w:r>
          </w:p>
        </w:tc>
        <w:tc>
          <w:tcPr>
            <w:tcW w:w="794" w:type="dxa"/>
          </w:tcPr>
          <w:p w14:paraId="795DAAE2">
            <w:pPr>
              <w:spacing w:after="0" w:line="276" w:lineRule="auto"/>
            </w:pPr>
            <w:r>
              <w:rPr>
                <w:rFonts w:ascii="Times New Roman" w:hAnsi="Times New Roman" w:eastAsia="仿宋"/>
                <w:b w:val="0"/>
                <w:sz w:val="18"/>
              </w:rPr>
              <w:t>双</w:t>
            </w:r>
          </w:p>
        </w:tc>
        <w:tc>
          <w:tcPr>
            <w:tcW w:w="794" w:type="dxa"/>
          </w:tcPr>
          <w:p w14:paraId="68695D0D">
            <w:pPr>
              <w:spacing w:after="0" w:line="276" w:lineRule="auto"/>
            </w:pPr>
            <w:r>
              <w:rPr>
                <w:rFonts w:ascii="Times New Roman" w:hAnsi="Times New Roman" w:eastAsia="仿宋"/>
                <w:b w:val="0"/>
                <w:sz w:val="18"/>
              </w:rPr>
              <w:t>5</w:t>
            </w:r>
          </w:p>
        </w:tc>
        <w:tc>
          <w:tcPr>
            <w:tcW w:w="1304" w:type="dxa"/>
          </w:tcPr>
          <w:p w14:paraId="30FC9C42">
            <w:pPr>
              <w:spacing w:after="0" w:line="276" w:lineRule="auto"/>
            </w:pPr>
            <w:r>
              <w:rPr>
                <w:rFonts w:ascii="Times New Roman" w:hAnsi="Times New Roman" w:eastAsia="仿宋"/>
                <w:b w:val="0"/>
                <w:sz w:val="18"/>
              </w:rPr>
              <w:t>84</w:t>
            </w:r>
          </w:p>
        </w:tc>
        <w:tc>
          <w:tcPr>
            <w:tcW w:w="1417" w:type="dxa"/>
          </w:tcPr>
          <w:p w14:paraId="33EFF25C">
            <w:pPr>
              <w:spacing w:after="0" w:line="276" w:lineRule="auto"/>
            </w:pPr>
            <w:r>
              <w:rPr>
                <w:rFonts w:ascii="Times New Roman" w:hAnsi="Times New Roman" w:eastAsia="仿宋"/>
                <w:b w:val="0"/>
                <w:sz w:val="18"/>
              </w:rPr>
              <w:t>420</w:t>
            </w:r>
          </w:p>
        </w:tc>
      </w:tr>
      <w:tr w14:paraId="5E0D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3EEC66F4">
            <w:pPr>
              <w:spacing w:after="0" w:line="276" w:lineRule="auto"/>
            </w:pPr>
            <w:r>
              <w:rPr>
                <w:rFonts w:ascii="Times New Roman" w:hAnsi="Times New Roman" w:eastAsia="仿宋"/>
                <w:b w:val="0"/>
                <w:sz w:val="18"/>
              </w:rPr>
              <w:t>3</w:t>
            </w:r>
          </w:p>
        </w:tc>
        <w:tc>
          <w:tcPr>
            <w:tcW w:w="1928" w:type="dxa"/>
          </w:tcPr>
          <w:p w14:paraId="6B63F00F">
            <w:pPr>
              <w:spacing w:after="0" w:line="276" w:lineRule="auto"/>
            </w:pPr>
            <w:r>
              <w:rPr>
                <w:rFonts w:ascii="Times New Roman" w:hAnsi="Times New Roman" w:eastAsia="仿宋"/>
                <w:b w:val="0"/>
                <w:sz w:val="18"/>
              </w:rPr>
              <w:t>安全帽</w:t>
            </w:r>
          </w:p>
        </w:tc>
        <w:tc>
          <w:tcPr>
            <w:tcW w:w="794" w:type="dxa"/>
          </w:tcPr>
          <w:p w14:paraId="6A182C83">
            <w:pPr>
              <w:spacing w:after="0" w:line="276" w:lineRule="auto"/>
            </w:pPr>
            <w:r>
              <w:rPr>
                <w:rFonts w:ascii="Times New Roman" w:hAnsi="Times New Roman" w:eastAsia="仿宋"/>
                <w:b w:val="0"/>
                <w:sz w:val="18"/>
              </w:rPr>
              <w:t>顶</w:t>
            </w:r>
          </w:p>
        </w:tc>
        <w:tc>
          <w:tcPr>
            <w:tcW w:w="794" w:type="dxa"/>
          </w:tcPr>
          <w:p w14:paraId="221CD666">
            <w:pPr>
              <w:spacing w:after="0" w:line="276" w:lineRule="auto"/>
            </w:pPr>
            <w:r>
              <w:rPr>
                <w:rFonts w:ascii="Times New Roman" w:hAnsi="Times New Roman" w:eastAsia="仿宋"/>
                <w:b w:val="0"/>
                <w:sz w:val="18"/>
              </w:rPr>
              <w:t>2</w:t>
            </w:r>
          </w:p>
        </w:tc>
        <w:tc>
          <w:tcPr>
            <w:tcW w:w="1304" w:type="dxa"/>
          </w:tcPr>
          <w:p w14:paraId="41ADF737">
            <w:pPr>
              <w:spacing w:after="0" w:line="276" w:lineRule="auto"/>
            </w:pPr>
            <w:r>
              <w:rPr>
                <w:rFonts w:ascii="Times New Roman" w:hAnsi="Times New Roman" w:eastAsia="仿宋"/>
                <w:b w:val="0"/>
                <w:sz w:val="18"/>
              </w:rPr>
              <w:t>21</w:t>
            </w:r>
          </w:p>
        </w:tc>
        <w:tc>
          <w:tcPr>
            <w:tcW w:w="1417" w:type="dxa"/>
          </w:tcPr>
          <w:p w14:paraId="427411C5">
            <w:pPr>
              <w:spacing w:after="0" w:line="276" w:lineRule="auto"/>
            </w:pPr>
            <w:r>
              <w:rPr>
                <w:rFonts w:ascii="Times New Roman" w:hAnsi="Times New Roman" w:eastAsia="仿宋"/>
                <w:b w:val="0"/>
                <w:sz w:val="18"/>
              </w:rPr>
              <w:t>42</w:t>
            </w:r>
          </w:p>
        </w:tc>
      </w:tr>
      <w:tr w14:paraId="7787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226F8C2B">
            <w:pPr>
              <w:spacing w:after="0" w:line="276" w:lineRule="auto"/>
            </w:pPr>
            <w:r>
              <w:rPr>
                <w:rFonts w:ascii="Times New Roman" w:hAnsi="Times New Roman" w:eastAsia="仿宋"/>
                <w:b w:val="0"/>
                <w:sz w:val="18"/>
              </w:rPr>
              <w:t>4</w:t>
            </w:r>
          </w:p>
        </w:tc>
        <w:tc>
          <w:tcPr>
            <w:tcW w:w="1928" w:type="dxa"/>
          </w:tcPr>
          <w:p w14:paraId="6798ABB7">
            <w:pPr>
              <w:spacing w:after="0" w:line="276" w:lineRule="auto"/>
            </w:pPr>
            <w:r>
              <w:rPr>
                <w:rFonts w:ascii="Times New Roman" w:hAnsi="Times New Roman" w:eastAsia="仿宋"/>
                <w:b w:val="0"/>
                <w:sz w:val="18"/>
              </w:rPr>
              <w:t>10kV验电器</w:t>
            </w:r>
          </w:p>
        </w:tc>
        <w:tc>
          <w:tcPr>
            <w:tcW w:w="794" w:type="dxa"/>
          </w:tcPr>
          <w:p w14:paraId="72D0B485">
            <w:pPr>
              <w:spacing w:after="0" w:line="276" w:lineRule="auto"/>
            </w:pPr>
            <w:r>
              <w:rPr>
                <w:rFonts w:ascii="Times New Roman" w:hAnsi="Times New Roman" w:eastAsia="仿宋"/>
                <w:b w:val="0"/>
                <w:sz w:val="18"/>
              </w:rPr>
              <w:t>只</w:t>
            </w:r>
          </w:p>
        </w:tc>
        <w:tc>
          <w:tcPr>
            <w:tcW w:w="794" w:type="dxa"/>
          </w:tcPr>
          <w:p w14:paraId="592C1AEB">
            <w:pPr>
              <w:spacing w:after="0" w:line="276" w:lineRule="auto"/>
            </w:pPr>
            <w:r>
              <w:rPr>
                <w:rFonts w:ascii="Times New Roman" w:hAnsi="Times New Roman" w:eastAsia="仿宋"/>
                <w:b w:val="0"/>
                <w:sz w:val="18"/>
              </w:rPr>
              <w:t>1</w:t>
            </w:r>
          </w:p>
        </w:tc>
        <w:tc>
          <w:tcPr>
            <w:tcW w:w="1304" w:type="dxa"/>
          </w:tcPr>
          <w:p w14:paraId="75463A9F">
            <w:pPr>
              <w:spacing w:after="0" w:line="276" w:lineRule="auto"/>
            </w:pPr>
            <w:r>
              <w:rPr>
                <w:rFonts w:ascii="Times New Roman" w:hAnsi="Times New Roman" w:eastAsia="仿宋"/>
                <w:b w:val="0"/>
                <w:sz w:val="18"/>
              </w:rPr>
              <w:t>51</w:t>
            </w:r>
          </w:p>
        </w:tc>
        <w:tc>
          <w:tcPr>
            <w:tcW w:w="1417" w:type="dxa"/>
          </w:tcPr>
          <w:p w14:paraId="436E1C4F">
            <w:pPr>
              <w:spacing w:after="0" w:line="276" w:lineRule="auto"/>
            </w:pPr>
            <w:r>
              <w:rPr>
                <w:rFonts w:ascii="Times New Roman" w:hAnsi="Times New Roman" w:eastAsia="仿宋"/>
                <w:b w:val="0"/>
                <w:sz w:val="18"/>
              </w:rPr>
              <w:t>51</w:t>
            </w:r>
          </w:p>
        </w:tc>
      </w:tr>
      <w:tr w14:paraId="664D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3DD0F7F1">
            <w:pPr>
              <w:spacing w:after="0" w:line="276" w:lineRule="auto"/>
            </w:pPr>
            <w:r>
              <w:rPr>
                <w:rFonts w:ascii="Times New Roman" w:hAnsi="Times New Roman" w:eastAsia="仿宋"/>
                <w:b w:val="0"/>
                <w:sz w:val="18"/>
              </w:rPr>
              <w:t>5</w:t>
            </w:r>
          </w:p>
        </w:tc>
        <w:tc>
          <w:tcPr>
            <w:tcW w:w="1928" w:type="dxa"/>
          </w:tcPr>
          <w:p w14:paraId="473553CD">
            <w:pPr>
              <w:spacing w:after="0" w:line="276" w:lineRule="auto"/>
            </w:pPr>
            <w:r>
              <w:rPr>
                <w:rFonts w:ascii="Times New Roman" w:hAnsi="Times New Roman" w:eastAsia="仿宋"/>
                <w:b w:val="0"/>
                <w:sz w:val="18"/>
              </w:rPr>
              <w:t>0.4kV验电器</w:t>
            </w:r>
          </w:p>
        </w:tc>
        <w:tc>
          <w:tcPr>
            <w:tcW w:w="794" w:type="dxa"/>
          </w:tcPr>
          <w:p w14:paraId="0F694B0F">
            <w:pPr>
              <w:spacing w:after="0" w:line="276" w:lineRule="auto"/>
            </w:pPr>
            <w:r>
              <w:rPr>
                <w:rFonts w:ascii="Times New Roman" w:hAnsi="Times New Roman" w:eastAsia="仿宋"/>
                <w:b w:val="0"/>
                <w:sz w:val="18"/>
              </w:rPr>
              <w:t>只</w:t>
            </w:r>
          </w:p>
        </w:tc>
        <w:tc>
          <w:tcPr>
            <w:tcW w:w="794" w:type="dxa"/>
          </w:tcPr>
          <w:p w14:paraId="464410DC">
            <w:pPr>
              <w:spacing w:after="0" w:line="276" w:lineRule="auto"/>
            </w:pPr>
            <w:r>
              <w:rPr>
                <w:rFonts w:ascii="Times New Roman" w:hAnsi="Times New Roman" w:eastAsia="仿宋"/>
                <w:b w:val="0"/>
                <w:sz w:val="18"/>
              </w:rPr>
              <w:t>2</w:t>
            </w:r>
          </w:p>
        </w:tc>
        <w:tc>
          <w:tcPr>
            <w:tcW w:w="1304" w:type="dxa"/>
          </w:tcPr>
          <w:p w14:paraId="24209AA5">
            <w:pPr>
              <w:spacing w:after="0" w:line="276" w:lineRule="auto"/>
            </w:pPr>
            <w:r>
              <w:rPr>
                <w:rFonts w:ascii="Times New Roman" w:hAnsi="Times New Roman" w:eastAsia="仿宋"/>
                <w:b w:val="0"/>
                <w:sz w:val="18"/>
              </w:rPr>
              <w:t>35</w:t>
            </w:r>
          </w:p>
        </w:tc>
        <w:tc>
          <w:tcPr>
            <w:tcW w:w="1417" w:type="dxa"/>
          </w:tcPr>
          <w:p w14:paraId="44D1EEC6">
            <w:pPr>
              <w:spacing w:after="0" w:line="276" w:lineRule="auto"/>
            </w:pPr>
            <w:r>
              <w:rPr>
                <w:rFonts w:ascii="Times New Roman" w:hAnsi="Times New Roman" w:eastAsia="仿宋"/>
                <w:b w:val="0"/>
                <w:sz w:val="18"/>
              </w:rPr>
              <w:t>70</w:t>
            </w:r>
          </w:p>
        </w:tc>
      </w:tr>
      <w:tr w14:paraId="6406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5367795D">
            <w:pPr>
              <w:spacing w:after="0" w:line="276" w:lineRule="auto"/>
            </w:pPr>
            <w:r>
              <w:rPr>
                <w:rFonts w:ascii="Times New Roman" w:hAnsi="Times New Roman" w:eastAsia="仿宋"/>
                <w:b w:val="0"/>
                <w:sz w:val="18"/>
              </w:rPr>
              <w:t>6</w:t>
            </w:r>
          </w:p>
        </w:tc>
        <w:tc>
          <w:tcPr>
            <w:tcW w:w="1928" w:type="dxa"/>
          </w:tcPr>
          <w:p w14:paraId="330679FF">
            <w:pPr>
              <w:spacing w:after="0" w:line="276" w:lineRule="auto"/>
            </w:pPr>
            <w:r>
              <w:rPr>
                <w:rFonts w:ascii="Times New Roman" w:hAnsi="Times New Roman" w:eastAsia="仿宋"/>
                <w:b w:val="0"/>
                <w:sz w:val="18"/>
              </w:rPr>
              <w:t>10kV令克棒</w:t>
            </w:r>
          </w:p>
        </w:tc>
        <w:tc>
          <w:tcPr>
            <w:tcW w:w="794" w:type="dxa"/>
          </w:tcPr>
          <w:p w14:paraId="760CBBBF">
            <w:pPr>
              <w:spacing w:after="0" w:line="276" w:lineRule="auto"/>
            </w:pPr>
            <w:r>
              <w:rPr>
                <w:rFonts w:ascii="Times New Roman" w:hAnsi="Times New Roman" w:eastAsia="仿宋"/>
                <w:b w:val="0"/>
                <w:sz w:val="18"/>
              </w:rPr>
              <w:t>支</w:t>
            </w:r>
          </w:p>
        </w:tc>
        <w:tc>
          <w:tcPr>
            <w:tcW w:w="794" w:type="dxa"/>
          </w:tcPr>
          <w:p w14:paraId="018259F0">
            <w:pPr>
              <w:spacing w:after="0" w:line="276" w:lineRule="auto"/>
            </w:pPr>
            <w:r>
              <w:rPr>
                <w:rFonts w:ascii="Times New Roman" w:hAnsi="Times New Roman" w:eastAsia="仿宋"/>
                <w:b w:val="0"/>
                <w:sz w:val="18"/>
              </w:rPr>
              <w:t>4</w:t>
            </w:r>
          </w:p>
        </w:tc>
        <w:tc>
          <w:tcPr>
            <w:tcW w:w="1304" w:type="dxa"/>
          </w:tcPr>
          <w:p w14:paraId="53D310CA">
            <w:pPr>
              <w:spacing w:after="0" w:line="276" w:lineRule="auto"/>
            </w:pPr>
            <w:r>
              <w:rPr>
                <w:rFonts w:ascii="Times New Roman" w:hAnsi="Times New Roman" w:eastAsia="仿宋"/>
                <w:b w:val="0"/>
                <w:sz w:val="18"/>
              </w:rPr>
              <w:t>57</w:t>
            </w:r>
          </w:p>
        </w:tc>
        <w:tc>
          <w:tcPr>
            <w:tcW w:w="1417" w:type="dxa"/>
          </w:tcPr>
          <w:p w14:paraId="0AE9E2D6">
            <w:pPr>
              <w:spacing w:after="0" w:line="276" w:lineRule="auto"/>
            </w:pPr>
            <w:r>
              <w:rPr>
                <w:rFonts w:ascii="Times New Roman" w:hAnsi="Times New Roman" w:eastAsia="仿宋"/>
                <w:b w:val="0"/>
                <w:sz w:val="18"/>
              </w:rPr>
              <w:t>228</w:t>
            </w:r>
          </w:p>
        </w:tc>
      </w:tr>
      <w:tr w14:paraId="2384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78553BC0">
            <w:pPr>
              <w:spacing w:after="0" w:line="276" w:lineRule="auto"/>
            </w:pPr>
            <w:r>
              <w:rPr>
                <w:rFonts w:ascii="Times New Roman" w:hAnsi="Times New Roman" w:eastAsia="仿宋"/>
                <w:b w:val="0"/>
                <w:sz w:val="18"/>
              </w:rPr>
              <w:t>合计</w:t>
            </w:r>
          </w:p>
        </w:tc>
        <w:tc>
          <w:tcPr>
            <w:tcW w:w="1928" w:type="dxa"/>
          </w:tcPr>
          <w:p w14:paraId="12A27ABC">
            <w:pPr>
              <w:spacing w:after="0" w:line="276" w:lineRule="auto"/>
            </w:pPr>
          </w:p>
        </w:tc>
        <w:tc>
          <w:tcPr>
            <w:tcW w:w="794" w:type="dxa"/>
          </w:tcPr>
          <w:p w14:paraId="262B4EE8">
            <w:pPr>
              <w:spacing w:after="0" w:line="276" w:lineRule="auto"/>
            </w:pPr>
          </w:p>
        </w:tc>
        <w:tc>
          <w:tcPr>
            <w:tcW w:w="794" w:type="dxa"/>
          </w:tcPr>
          <w:p w14:paraId="15B039F3">
            <w:pPr>
              <w:spacing w:after="0" w:line="276" w:lineRule="auto"/>
            </w:pPr>
          </w:p>
        </w:tc>
        <w:tc>
          <w:tcPr>
            <w:tcW w:w="1304" w:type="dxa"/>
          </w:tcPr>
          <w:p w14:paraId="1902916D">
            <w:pPr>
              <w:spacing w:after="0" w:line="276" w:lineRule="auto"/>
            </w:pPr>
          </w:p>
        </w:tc>
        <w:tc>
          <w:tcPr>
            <w:tcW w:w="1417" w:type="dxa"/>
          </w:tcPr>
          <w:p w14:paraId="6D0B67B7">
            <w:pPr>
              <w:spacing w:after="0" w:line="276" w:lineRule="auto"/>
            </w:pPr>
            <w:r>
              <w:rPr>
                <w:rFonts w:ascii="Times New Roman" w:hAnsi="Times New Roman" w:eastAsia="仿宋"/>
                <w:b w:val="0"/>
                <w:sz w:val="18"/>
              </w:rPr>
              <w:t>943（未含税）</w:t>
            </w:r>
          </w:p>
        </w:tc>
      </w:tr>
    </w:tbl>
    <w:p w14:paraId="7724BF3D">
      <w:pPr>
        <w:keepNext/>
        <w:spacing w:before="200" w:after="100"/>
      </w:pPr>
      <w:r>
        <w:rPr>
          <w:rFonts w:ascii="Times New Roman" w:hAnsi="Times New Roman" w:eastAsia="黑体"/>
          <w:b/>
          <w:sz w:val="26"/>
        </w:rPr>
        <w:t>四、报价及费用构成</w:t>
      </w:r>
    </w:p>
    <w:p w14:paraId="4D062107">
      <w:pPr>
        <w:spacing w:before="0" w:after="80" w:line="312" w:lineRule="auto"/>
      </w:pPr>
      <w:r>
        <w:rPr>
          <w:rFonts w:ascii="Times New Roman" w:hAnsi="Times New Roman" w:eastAsia="仿宋"/>
          <w:b w:val="0"/>
          <w:sz w:val="21"/>
        </w:rPr>
        <w:t>本项目采用总价包干，供应商报价不得高于2.6万元/年。报价应包含人工、材料、机械、试验、检测、运输、保险、安全措施、税费、利润及完成全部合同义务所需的其他费用，不得漏项或另行收费。</w:t>
      </w:r>
    </w:p>
    <w:p w14:paraId="21DE7D10">
      <w:pPr>
        <w:spacing w:before="40" w:after="80" w:line="312" w:lineRule="auto"/>
      </w:pPr>
      <w:r>
        <w:rPr>
          <w:rFonts w:ascii="Times New Roman" w:hAnsi="Times New Roman" w:eastAsia="仿宋"/>
          <w:b w:val="0"/>
          <w:sz w:val="19"/>
        </w:rPr>
        <w:t>以下费用构成仅作内部预算参考，不作为对供应商分项报价的强制上限。</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8"/>
        <w:gridCol w:w="1701"/>
        <w:gridCol w:w="4139"/>
      </w:tblGrid>
      <w:tr w14:paraId="21C9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shd w:val="clear" w:color="auto" w:fill="D9D9D9"/>
          </w:tcPr>
          <w:p w14:paraId="5390DD28">
            <w:pPr>
              <w:spacing w:after="0" w:line="240" w:lineRule="auto"/>
              <w:jc w:val="center"/>
            </w:pPr>
            <w:r>
              <w:rPr>
                <w:rFonts w:ascii="Times New Roman" w:hAnsi="Times New Roman" w:eastAsia="黑体"/>
                <w:b/>
                <w:sz w:val="18"/>
              </w:rPr>
              <w:t>费用项目</w:t>
            </w:r>
          </w:p>
        </w:tc>
        <w:tc>
          <w:tcPr>
            <w:tcW w:w="1701" w:type="dxa"/>
            <w:shd w:val="clear" w:color="auto" w:fill="D9D9D9"/>
          </w:tcPr>
          <w:p w14:paraId="5425883B">
            <w:pPr>
              <w:spacing w:after="0" w:line="240" w:lineRule="auto"/>
              <w:jc w:val="center"/>
            </w:pPr>
            <w:r>
              <w:rPr>
                <w:rFonts w:ascii="Times New Roman" w:hAnsi="Times New Roman" w:eastAsia="黑体"/>
                <w:b/>
                <w:sz w:val="18"/>
              </w:rPr>
              <w:t>参考金额（元）</w:t>
            </w:r>
          </w:p>
        </w:tc>
        <w:tc>
          <w:tcPr>
            <w:tcW w:w="4139" w:type="dxa"/>
            <w:shd w:val="clear" w:color="auto" w:fill="D9D9D9"/>
          </w:tcPr>
          <w:p w14:paraId="70F3469C">
            <w:pPr>
              <w:spacing w:after="0" w:line="240" w:lineRule="auto"/>
              <w:jc w:val="center"/>
            </w:pPr>
            <w:r>
              <w:rPr>
                <w:rFonts w:ascii="Times New Roman" w:hAnsi="Times New Roman" w:eastAsia="黑体"/>
                <w:b/>
                <w:sz w:val="18"/>
              </w:rPr>
              <w:t>说明</w:t>
            </w:r>
          </w:p>
        </w:tc>
      </w:tr>
      <w:tr w14:paraId="09E2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7D268046">
            <w:pPr>
              <w:spacing w:after="0" w:line="276" w:lineRule="auto"/>
            </w:pPr>
            <w:r>
              <w:rPr>
                <w:rFonts w:ascii="Times New Roman" w:hAnsi="Times New Roman" w:eastAsia="仿宋"/>
                <w:b w:val="0"/>
                <w:sz w:val="18"/>
              </w:rPr>
              <w:t>日常巡检及维护人工费</w:t>
            </w:r>
          </w:p>
        </w:tc>
        <w:tc>
          <w:tcPr>
            <w:tcW w:w="1701" w:type="dxa"/>
          </w:tcPr>
          <w:p w14:paraId="3C0ACF86">
            <w:pPr>
              <w:spacing w:after="0" w:line="276" w:lineRule="auto"/>
            </w:pPr>
            <w:r>
              <w:rPr>
                <w:rFonts w:ascii="Times New Roman" w:hAnsi="Times New Roman" w:eastAsia="仿宋"/>
                <w:b w:val="0"/>
                <w:sz w:val="18"/>
              </w:rPr>
              <w:t>16,000</w:t>
            </w:r>
          </w:p>
        </w:tc>
        <w:tc>
          <w:tcPr>
            <w:tcW w:w="4139" w:type="dxa"/>
          </w:tcPr>
          <w:p w14:paraId="26456896">
            <w:pPr>
              <w:spacing w:after="0" w:line="276" w:lineRule="auto"/>
            </w:pPr>
            <w:r>
              <w:rPr>
                <w:rFonts w:ascii="Times New Roman" w:hAnsi="Times New Roman" w:eastAsia="仿宋"/>
                <w:b w:val="0"/>
                <w:sz w:val="18"/>
              </w:rPr>
              <w:t>含月度、季度巡检及日常消缺</w:t>
            </w:r>
          </w:p>
        </w:tc>
      </w:tr>
      <w:tr w14:paraId="111C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51637D33">
            <w:pPr>
              <w:spacing w:after="0" w:line="276" w:lineRule="auto"/>
            </w:pPr>
            <w:r>
              <w:rPr>
                <w:rFonts w:ascii="Times New Roman" w:hAnsi="Times New Roman" w:eastAsia="仿宋"/>
                <w:b w:val="0"/>
                <w:sz w:val="18"/>
              </w:rPr>
              <w:t>年度预防性试验费</w:t>
            </w:r>
          </w:p>
        </w:tc>
        <w:tc>
          <w:tcPr>
            <w:tcW w:w="1701" w:type="dxa"/>
          </w:tcPr>
          <w:p w14:paraId="444FA081">
            <w:pPr>
              <w:spacing w:after="0" w:line="276" w:lineRule="auto"/>
            </w:pPr>
            <w:r>
              <w:rPr>
                <w:rFonts w:ascii="Times New Roman" w:hAnsi="Times New Roman" w:eastAsia="仿宋"/>
                <w:b w:val="0"/>
                <w:sz w:val="18"/>
              </w:rPr>
              <w:t>4,500</w:t>
            </w:r>
          </w:p>
        </w:tc>
        <w:tc>
          <w:tcPr>
            <w:tcW w:w="4139" w:type="dxa"/>
          </w:tcPr>
          <w:p w14:paraId="30F1DA2B">
            <w:pPr>
              <w:spacing w:after="0" w:line="276" w:lineRule="auto"/>
            </w:pPr>
            <w:r>
              <w:rPr>
                <w:rFonts w:ascii="Times New Roman" w:hAnsi="Times New Roman" w:eastAsia="仿宋"/>
                <w:b w:val="0"/>
                <w:sz w:val="18"/>
              </w:rPr>
              <w:t>按规程完成各类设备预防性试验并出具报告</w:t>
            </w:r>
          </w:p>
        </w:tc>
      </w:tr>
      <w:tr w14:paraId="0F8C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1D52F683">
            <w:pPr>
              <w:spacing w:after="0" w:line="276" w:lineRule="auto"/>
            </w:pPr>
            <w:r>
              <w:rPr>
                <w:rFonts w:ascii="Times New Roman" w:hAnsi="Times New Roman" w:eastAsia="仿宋"/>
                <w:b w:val="0"/>
                <w:sz w:val="18"/>
              </w:rPr>
              <w:t>地下电缆走向检测及标识</w:t>
            </w:r>
          </w:p>
        </w:tc>
        <w:tc>
          <w:tcPr>
            <w:tcW w:w="1701" w:type="dxa"/>
          </w:tcPr>
          <w:p w14:paraId="2BF1591B">
            <w:pPr>
              <w:spacing w:after="0" w:line="276" w:lineRule="auto"/>
            </w:pPr>
            <w:r>
              <w:rPr>
                <w:rFonts w:ascii="Times New Roman" w:hAnsi="Times New Roman" w:eastAsia="仿宋"/>
                <w:b w:val="0"/>
                <w:sz w:val="18"/>
              </w:rPr>
              <w:t>2,500</w:t>
            </w:r>
          </w:p>
        </w:tc>
        <w:tc>
          <w:tcPr>
            <w:tcW w:w="4139" w:type="dxa"/>
          </w:tcPr>
          <w:p w14:paraId="0950F059">
            <w:pPr>
              <w:spacing w:after="0" w:line="276" w:lineRule="auto"/>
            </w:pPr>
            <w:r>
              <w:rPr>
                <w:rFonts w:ascii="Times New Roman" w:hAnsi="Times New Roman" w:eastAsia="仿宋"/>
                <w:b w:val="0"/>
                <w:sz w:val="18"/>
              </w:rPr>
              <w:t>形成地下电缆走向图或示意图</w:t>
            </w:r>
          </w:p>
        </w:tc>
      </w:tr>
      <w:tr w14:paraId="27E9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0E68481E">
            <w:pPr>
              <w:spacing w:after="0" w:line="276" w:lineRule="auto"/>
            </w:pPr>
            <w:r>
              <w:rPr>
                <w:rFonts w:ascii="Times New Roman" w:hAnsi="Times New Roman" w:eastAsia="仿宋"/>
                <w:b w:val="0"/>
                <w:sz w:val="18"/>
              </w:rPr>
              <w:t>安全工器具定期检测费</w:t>
            </w:r>
          </w:p>
        </w:tc>
        <w:tc>
          <w:tcPr>
            <w:tcW w:w="1701" w:type="dxa"/>
          </w:tcPr>
          <w:p w14:paraId="22514369">
            <w:pPr>
              <w:spacing w:after="0" w:line="276" w:lineRule="auto"/>
            </w:pPr>
            <w:r>
              <w:rPr>
                <w:rFonts w:ascii="Times New Roman" w:hAnsi="Times New Roman" w:eastAsia="仿宋"/>
                <w:b w:val="0"/>
                <w:sz w:val="18"/>
              </w:rPr>
              <w:t>1,800</w:t>
            </w:r>
          </w:p>
        </w:tc>
        <w:tc>
          <w:tcPr>
            <w:tcW w:w="4139" w:type="dxa"/>
          </w:tcPr>
          <w:p w14:paraId="100FEFE0">
            <w:pPr>
              <w:spacing w:after="0" w:line="276" w:lineRule="auto"/>
            </w:pPr>
            <w:r>
              <w:rPr>
                <w:rFonts w:ascii="Times New Roman" w:hAnsi="Times New Roman" w:eastAsia="仿宋"/>
                <w:b w:val="0"/>
                <w:sz w:val="18"/>
              </w:rPr>
              <w:t>暂按38件/次，最终按实际清点数量执行</w:t>
            </w:r>
          </w:p>
        </w:tc>
      </w:tr>
      <w:tr w14:paraId="47855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1820082A">
            <w:pPr>
              <w:spacing w:after="0" w:line="276" w:lineRule="auto"/>
            </w:pPr>
            <w:r>
              <w:rPr>
                <w:rFonts w:ascii="Times New Roman" w:hAnsi="Times New Roman" w:eastAsia="仿宋"/>
                <w:b w:val="0"/>
                <w:sz w:val="18"/>
              </w:rPr>
              <w:t>安全工器具补充采购费</w:t>
            </w:r>
          </w:p>
        </w:tc>
        <w:tc>
          <w:tcPr>
            <w:tcW w:w="1701" w:type="dxa"/>
          </w:tcPr>
          <w:p w14:paraId="14E19B1C">
            <w:pPr>
              <w:spacing w:after="0" w:line="276" w:lineRule="auto"/>
            </w:pPr>
            <w:r>
              <w:rPr>
                <w:rFonts w:ascii="Times New Roman" w:hAnsi="Times New Roman" w:eastAsia="仿宋"/>
                <w:b w:val="0"/>
                <w:sz w:val="18"/>
              </w:rPr>
              <w:t>1,200</w:t>
            </w:r>
          </w:p>
        </w:tc>
        <w:tc>
          <w:tcPr>
            <w:tcW w:w="4139" w:type="dxa"/>
          </w:tcPr>
          <w:p w14:paraId="120FEAE0">
            <w:pPr>
              <w:spacing w:after="0" w:line="276" w:lineRule="auto"/>
            </w:pPr>
            <w:r>
              <w:rPr>
                <w:rFonts w:ascii="Times New Roman" w:hAnsi="Times New Roman" w:eastAsia="仿宋"/>
                <w:b w:val="0"/>
                <w:sz w:val="18"/>
              </w:rPr>
              <w:t>暂按采购清单，最终按实际到货验收数量执行</w:t>
            </w:r>
          </w:p>
        </w:tc>
      </w:tr>
      <w:tr w14:paraId="0A0A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145802A4">
            <w:pPr>
              <w:spacing w:after="0" w:line="276" w:lineRule="auto"/>
            </w:pPr>
            <w:r>
              <w:rPr>
                <w:rFonts w:ascii="Times New Roman" w:hAnsi="Times New Roman" w:eastAsia="仿宋"/>
                <w:b w:val="0"/>
                <w:sz w:val="18"/>
              </w:rPr>
              <w:t>合计</w:t>
            </w:r>
          </w:p>
        </w:tc>
        <w:tc>
          <w:tcPr>
            <w:tcW w:w="1701" w:type="dxa"/>
          </w:tcPr>
          <w:p w14:paraId="2916274B">
            <w:pPr>
              <w:spacing w:after="0" w:line="276" w:lineRule="auto"/>
            </w:pPr>
            <w:r>
              <w:rPr>
                <w:rFonts w:ascii="Times New Roman" w:hAnsi="Times New Roman" w:eastAsia="仿宋"/>
                <w:b w:val="0"/>
                <w:sz w:val="18"/>
              </w:rPr>
              <w:t>26,000</w:t>
            </w:r>
          </w:p>
        </w:tc>
        <w:tc>
          <w:tcPr>
            <w:tcW w:w="4139" w:type="dxa"/>
          </w:tcPr>
          <w:p w14:paraId="0FEB2FB4">
            <w:pPr>
              <w:spacing w:after="0" w:line="276" w:lineRule="auto"/>
            </w:pPr>
            <w:r>
              <w:rPr>
                <w:rFonts w:ascii="Times New Roman" w:hAnsi="Times New Roman" w:eastAsia="仿宋"/>
                <w:b w:val="0"/>
                <w:sz w:val="18"/>
              </w:rPr>
              <w:t>不得超过获批预算2.6万元/年</w:t>
            </w:r>
          </w:p>
        </w:tc>
      </w:tr>
    </w:tbl>
    <w:p w14:paraId="64E5961E">
      <w:pPr>
        <w:keepNext/>
        <w:spacing w:before="200" w:after="100"/>
      </w:pPr>
      <w:r>
        <w:rPr>
          <w:rFonts w:ascii="Times New Roman" w:hAnsi="Times New Roman" w:eastAsia="黑体"/>
          <w:b/>
          <w:sz w:val="26"/>
        </w:rPr>
        <w:t>五、验收要求</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4"/>
        <w:gridCol w:w="6633"/>
      </w:tblGrid>
      <w:tr w14:paraId="0D13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shd w:val="clear" w:color="auto" w:fill="D9D9D9"/>
          </w:tcPr>
          <w:p w14:paraId="429A1E22">
            <w:pPr>
              <w:spacing w:after="0" w:line="240" w:lineRule="auto"/>
              <w:jc w:val="center"/>
            </w:pPr>
            <w:r>
              <w:rPr>
                <w:rFonts w:ascii="Times New Roman" w:hAnsi="Times New Roman" w:eastAsia="黑体"/>
                <w:b/>
                <w:sz w:val="18"/>
              </w:rPr>
              <w:t>项目</w:t>
            </w:r>
          </w:p>
        </w:tc>
        <w:tc>
          <w:tcPr>
            <w:tcW w:w="6633" w:type="dxa"/>
            <w:shd w:val="clear" w:color="auto" w:fill="D9D9D9"/>
          </w:tcPr>
          <w:p w14:paraId="57B61BB7">
            <w:pPr>
              <w:spacing w:after="0" w:line="240" w:lineRule="auto"/>
              <w:jc w:val="center"/>
            </w:pPr>
            <w:r>
              <w:rPr>
                <w:rFonts w:ascii="Times New Roman" w:hAnsi="Times New Roman" w:eastAsia="黑体"/>
                <w:b/>
                <w:sz w:val="18"/>
              </w:rPr>
              <w:t>验收标准</w:t>
            </w:r>
          </w:p>
        </w:tc>
      </w:tr>
      <w:tr w14:paraId="660F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tcPr>
          <w:p w14:paraId="735D73FD">
            <w:pPr>
              <w:spacing w:after="0" w:line="276" w:lineRule="auto"/>
            </w:pPr>
            <w:r>
              <w:rPr>
                <w:rFonts w:ascii="Times New Roman" w:hAnsi="Times New Roman" w:eastAsia="仿宋"/>
                <w:b w:val="0"/>
                <w:sz w:val="18"/>
              </w:rPr>
              <w:t>日常维护</w:t>
            </w:r>
          </w:p>
        </w:tc>
        <w:tc>
          <w:tcPr>
            <w:tcW w:w="6633" w:type="dxa"/>
          </w:tcPr>
          <w:p w14:paraId="721314BB">
            <w:pPr>
              <w:spacing w:after="0" w:line="276" w:lineRule="auto"/>
            </w:pPr>
            <w:r>
              <w:rPr>
                <w:rFonts w:ascii="Times New Roman" w:hAnsi="Times New Roman" w:eastAsia="仿宋"/>
                <w:b w:val="0"/>
                <w:sz w:val="18"/>
              </w:rPr>
              <w:t>按月提交巡检记录；年度服务期内无因维保不到位导致的用电安全责任事故</w:t>
            </w:r>
          </w:p>
        </w:tc>
      </w:tr>
      <w:tr w14:paraId="1913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tcPr>
          <w:p w14:paraId="591F0A18">
            <w:pPr>
              <w:spacing w:after="0" w:line="276" w:lineRule="auto"/>
            </w:pPr>
            <w:r>
              <w:rPr>
                <w:rFonts w:ascii="Times New Roman" w:hAnsi="Times New Roman" w:eastAsia="仿宋"/>
                <w:b w:val="0"/>
                <w:sz w:val="18"/>
              </w:rPr>
              <w:t>年度预防性试验</w:t>
            </w:r>
          </w:p>
        </w:tc>
        <w:tc>
          <w:tcPr>
            <w:tcW w:w="6633" w:type="dxa"/>
          </w:tcPr>
          <w:p w14:paraId="5E1E163A">
            <w:pPr>
              <w:spacing w:after="0" w:line="276" w:lineRule="auto"/>
            </w:pPr>
            <w:r>
              <w:rPr>
                <w:rFonts w:ascii="Times New Roman" w:hAnsi="Times New Roman" w:eastAsia="仿宋"/>
                <w:b w:val="0"/>
                <w:sz w:val="18"/>
              </w:rPr>
              <w:t>提交正式试验报告，数据完整、结论明确，不符合项应提出处理建议并跟踪整改</w:t>
            </w:r>
          </w:p>
        </w:tc>
      </w:tr>
      <w:tr w14:paraId="76B8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tcPr>
          <w:p w14:paraId="243FD3D2">
            <w:pPr>
              <w:spacing w:after="0" w:line="276" w:lineRule="auto"/>
            </w:pPr>
            <w:r>
              <w:rPr>
                <w:rFonts w:ascii="Times New Roman" w:hAnsi="Times New Roman" w:eastAsia="仿宋"/>
                <w:b w:val="0"/>
                <w:sz w:val="18"/>
              </w:rPr>
              <w:t>地下电缆检测</w:t>
            </w:r>
          </w:p>
        </w:tc>
        <w:tc>
          <w:tcPr>
            <w:tcW w:w="6633" w:type="dxa"/>
          </w:tcPr>
          <w:p w14:paraId="49899187">
            <w:pPr>
              <w:spacing w:after="0" w:line="276" w:lineRule="auto"/>
            </w:pPr>
            <w:r>
              <w:rPr>
                <w:rFonts w:ascii="Times New Roman" w:hAnsi="Times New Roman" w:eastAsia="仿宋"/>
                <w:b w:val="0"/>
                <w:sz w:val="18"/>
              </w:rPr>
              <w:t>提交地下电缆走向图或示意图，并与现场实际核对</w:t>
            </w:r>
          </w:p>
        </w:tc>
      </w:tr>
      <w:tr w14:paraId="61FF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tcPr>
          <w:p w14:paraId="76AF39F1">
            <w:pPr>
              <w:spacing w:after="0" w:line="276" w:lineRule="auto"/>
            </w:pPr>
            <w:r>
              <w:rPr>
                <w:rFonts w:ascii="Times New Roman" w:hAnsi="Times New Roman" w:eastAsia="仿宋"/>
                <w:b w:val="0"/>
                <w:sz w:val="18"/>
              </w:rPr>
              <w:t>应急抢修</w:t>
            </w:r>
          </w:p>
        </w:tc>
        <w:tc>
          <w:tcPr>
            <w:tcW w:w="6633" w:type="dxa"/>
          </w:tcPr>
          <w:p w14:paraId="25A20634">
            <w:pPr>
              <w:spacing w:after="0" w:line="276" w:lineRule="auto"/>
            </w:pPr>
            <w:r>
              <w:rPr>
                <w:rFonts w:ascii="Times New Roman" w:hAnsi="Times New Roman" w:eastAsia="仿宋"/>
                <w:b w:val="0"/>
                <w:sz w:val="18"/>
              </w:rPr>
              <w:t>满足约定到场时限和处置要求，抢修后提交处理记录</w:t>
            </w:r>
          </w:p>
        </w:tc>
      </w:tr>
      <w:tr w14:paraId="1256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tcPr>
          <w:p w14:paraId="2765907C">
            <w:pPr>
              <w:spacing w:after="0" w:line="276" w:lineRule="auto"/>
            </w:pPr>
            <w:r>
              <w:rPr>
                <w:rFonts w:ascii="Times New Roman" w:hAnsi="Times New Roman" w:eastAsia="仿宋"/>
                <w:b w:val="0"/>
                <w:sz w:val="18"/>
              </w:rPr>
              <w:t>安全工器具检测</w:t>
            </w:r>
          </w:p>
        </w:tc>
        <w:tc>
          <w:tcPr>
            <w:tcW w:w="6633" w:type="dxa"/>
          </w:tcPr>
          <w:p w14:paraId="2EAD5DD3">
            <w:pPr>
              <w:spacing w:after="0" w:line="276" w:lineRule="auto"/>
            </w:pPr>
            <w:r>
              <w:rPr>
                <w:rFonts w:ascii="Times New Roman" w:hAnsi="Times New Roman" w:eastAsia="仿宋"/>
                <w:b w:val="0"/>
                <w:sz w:val="18"/>
              </w:rPr>
              <w:t>提交有效检测报告，器具上粘贴合格标签并注明有效期</w:t>
            </w:r>
          </w:p>
        </w:tc>
      </w:tr>
      <w:tr w14:paraId="71A7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tcPr>
          <w:p w14:paraId="3EE8F356">
            <w:pPr>
              <w:spacing w:after="0" w:line="276" w:lineRule="auto"/>
            </w:pPr>
            <w:r>
              <w:rPr>
                <w:rFonts w:ascii="Times New Roman" w:hAnsi="Times New Roman" w:eastAsia="仿宋"/>
                <w:b w:val="0"/>
                <w:sz w:val="18"/>
              </w:rPr>
              <w:t>补充采购</w:t>
            </w:r>
          </w:p>
        </w:tc>
        <w:tc>
          <w:tcPr>
            <w:tcW w:w="6633" w:type="dxa"/>
          </w:tcPr>
          <w:p w14:paraId="492B3055">
            <w:pPr>
              <w:spacing w:after="0" w:line="276" w:lineRule="auto"/>
            </w:pPr>
            <w:r>
              <w:rPr>
                <w:rFonts w:ascii="Times New Roman" w:hAnsi="Times New Roman" w:eastAsia="仿宋"/>
                <w:b w:val="0"/>
                <w:sz w:val="18"/>
              </w:rPr>
              <w:t>产品到货验收合格，资料齐全，登记入账</w:t>
            </w:r>
          </w:p>
        </w:tc>
      </w:tr>
    </w:tbl>
    <w:p w14:paraId="21F80324">
      <w:pPr>
        <w:keepNext/>
        <w:spacing w:before="200" w:after="100"/>
      </w:pPr>
      <w:r>
        <w:rPr>
          <w:rFonts w:ascii="Times New Roman" w:hAnsi="Times New Roman" w:eastAsia="黑体"/>
          <w:b/>
          <w:sz w:val="26"/>
        </w:rPr>
        <w:t>六、商务要求</w:t>
      </w:r>
    </w:p>
    <w:p w14:paraId="062762D4">
      <w:pPr>
        <w:spacing w:after="40" w:line="312" w:lineRule="auto"/>
        <w:ind w:left="369"/>
      </w:pPr>
      <w:r>
        <w:rPr>
          <w:rFonts w:ascii="Times New Roman" w:hAnsi="Times New Roman" w:eastAsia="仿宋"/>
          <w:b w:val="0"/>
          <w:sz w:val="21"/>
        </w:rPr>
        <w:t>• 服务期一年，具体起止日期按合同约定。</w:t>
      </w:r>
    </w:p>
    <w:p w14:paraId="7D379639">
      <w:pPr>
        <w:spacing w:after="40" w:line="312" w:lineRule="auto"/>
        <w:ind w:left="369"/>
      </w:pPr>
      <w:r>
        <w:rPr>
          <w:rFonts w:ascii="Times New Roman" w:hAnsi="Times New Roman" w:eastAsia="仿宋"/>
          <w:b w:val="0"/>
          <w:sz w:val="21"/>
        </w:rPr>
        <w:t>• 服务费按季度等额支付，每季度支付合同总价的25%；供应商须提交当季维保记录、服务报告和合法发票。年度预防性试验、地下电缆检测、安全工器具检测及采购完成并验收后，可在对应季度一并结算；服务期满并完成全部验收后结清全部款项。</w:t>
      </w:r>
    </w:p>
    <w:p w14:paraId="4B2F161C">
      <w:pPr>
        <w:spacing w:after="40" w:line="312" w:lineRule="auto"/>
        <w:ind w:left="369"/>
      </w:pPr>
      <w:r>
        <w:rPr>
          <w:rFonts w:ascii="Times New Roman" w:hAnsi="Times New Roman" w:eastAsia="仿宋"/>
          <w:b w:val="0"/>
          <w:sz w:val="21"/>
        </w:rPr>
        <w:t>• 正常维护过程中，设备因正常使用损坏需要更换的，由供应商上报采购人审定后实施，材料费用由采购人承担；因供应商原因造成设备损坏的，由供应商承担全部费用。</w:t>
      </w:r>
    </w:p>
    <w:p w14:paraId="045907AB">
      <w:pPr>
        <w:spacing w:after="40" w:line="312" w:lineRule="auto"/>
        <w:ind w:left="369"/>
      </w:pPr>
      <w:r>
        <w:rPr>
          <w:rFonts w:ascii="Times New Roman" w:hAnsi="Times New Roman" w:eastAsia="仿宋"/>
          <w:b w:val="0"/>
          <w:sz w:val="21"/>
        </w:rPr>
        <w:t>• 供应商应为本项目配备项目负责人及具备相应资质的高压电工，未经采购人同意不得随意更换主要人员。</w:t>
      </w:r>
    </w:p>
    <w:p w14:paraId="43CA6E9A">
      <w:pPr>
        <w:spacing w:after="40" w:line="312" w:lineRule="auto"/>
        <w:ind w:left="369"/>
      </w:pPr>
      <w:r>
        <w:rPr>
          <w:rFonts w:ascii="Times New Roman" w:hAnsi="Times New Roman" w:eastAsia="仿宋"/>
          <w:b w:val="0"/>
          <w:sz w:val="21"/>
        </w:rPr>
        <w:t>• 供应商应购买或确保作业人员购买相应保险，作业安全责任由供应商承担；采购人有权对安全文明作业进行监督。</w:t>
      </w:r>
    </w:p>
    <w:p w14:paraId="3A35E829">
      <w:pPr>
        <w:spacing w:after="40" w:line="312" w:lineRule="auto"/>
        <w:ind w:left="369"/>
      </w:pPr>
      <w:r>
        <w:rPr>
          <w:rFonts w:ascii="Times New Roman" w:hAnsi="Times New Roman" w:eastAsia="仿宋"/>
          <w:b w:val="0"/>
          <w:sz w:val="21"/>
        </w:rPr>
        <w:t>• 因供应商原因延期，每延误一天按合同价0.5%支付违约金，累计不超过合同价20%。</w:t>
      </w:r>
    </w:p>
    <w:p w14:paraId="5458CCDA">
      <w:pPr>
        <w:spacing w:after="40" w:line="312" w:lineRule="auto"/>
        <w:ind w:left="369"/>
      </w:pPr>
      <w:r>
        <w:rPr>
          <w:rFonts w:ascii="Times New Roman" w:hAnsi="Times New Roman" w:eastAsia="仿宋"/>
          <w:b w:val="0"/>
          <w:sz w:val="21"/>
        </w:rPr>
        <w:t>• 因施工质量、产品或部件缺陷导致故障的，供应商应在接到通知后24小时内响应并无偿处理。</w:t>
      </w:r>
    </w:p>
    <w:p w14:paraId="7E99B666">
      <w:pPr>
        <w:spacing w:after="40" w:line="312" w:lineRule="auto"/>
        <w:ind w:left="369"/>
      </w:pPr>
      <w:r>
        <w:rPr>
          <w:rFonts w:ascii="Times New Roman" w:hAnsi="Times New Roman" w:eastAsia="仿宋"/>
          <w:b w:val="0"/>
          <w:sz w:val="21"/>
        </w:rPr>
        <w:t>• 巡检记录、试验报告、地下电缆走向图、检测报告、验收资料等成果文件归采购人所有。</w:t>
      </w:r>
    </w:p>
    <w:p w14:paraId="3A0961EA">
      <w:pPr>
        <w:keepNext/>
        <w:spacing w:before="200" w:after="100"/>
      </w:pPr>
      <w:r>
        <w:rPr>
          <w:rFonts w:ascii="Times New Roman" w:hAnsi="Times New Roman" w:eastAsia="黑体"/>
          <w:b/>
          <w:sz w:val="26"/>
        </w:rPr>
        <w:t>七、供应商资格条件</w:t>
      </w:r>
    </w:p>
    <w:p w14:paraId="3E7FD6E4">
      <w:pPr>
        <w:spacing w:after="40" w:line="312" w:lineRule="auto"/>
        <w:ind w:left="369"/>
      </w:pPr>
      <w:r>
        <w:rPr>
          <w:rFonts w:ascii="Times New Roman" w:hAnsi="Times New Roman" w:eastAsia="仿宋"/>
          <w:b w:val="0"/>
          <w:sz w:val="21"/>
        </w:rPr>
        <w:t>• 具有独立承担民事责任能力，持有有效营业执照，未被列入信用中国、政府采购严重违法失信名单。</w:t>
      </w:r>
    </w:p>
    <w:p w14:paraId="416B8743">
      <w:pPr>
        <w:spacing w:after="40" w:line="312" w:lineRule="auto"/>
        <w:ind w:left="369"/>
      </w:pPr>
      <w:r>
        <w:rPr>
          <w:rFonts w:ascii="Times New Roman" w:hAnsi="Times New Roman" w:eastAsia="仿宋"/>
          <w:b w:val="0"/>
          <w:sz w:val="21"/>
        </w:rPr>
        <w:t>• 具有承装（修、试）电力设施许可证五级及以上资质。</w:t>
      </w:r>
    </w:p>
    <w:p w14:paraId="39D48641">
      <w:pPr>
        <w:spacing w:after="40" w:line="312" w:lineRule="auto"/>
        <w:ind w:left="369"/>
      </w:pPr>
      <w:r>
        <w:rPr>
          <w:rFonts w:ascii="Times New Roman" w:hAnsi="Times New Roman" w:eastAsia="仿宋"/>
          <w:b w:val="0"/>
          <w:sz w:val="21"/>
        </w:rPr>
        <w:t>• 拟投入人员中高压电工等特种作业人员须持有有效特种作业操作证。</w:t>
      </w:r>
    </w:p>
    <w:p w14:paraId="655D7965">
      <w:pPr>
        <w:spacing w:after="40" w:line="312" w:lineRule="auto"/>
        <w:ind w:left="369"/>
      </w:pPr>
      <w:r>
        <w:rPr>
          <w:rFonts w:ascii="Times New Roman" w:hAnsi="Times New Roman" w:eastAsia="仿宋"/>
          <w:b w:val="0"/>
          <w:sz w:val="21"/>
        </w:rPr>
        <w:t>• 安全工器具检测可由供应商自行实施或委托具有相应资质的检测机构；委托时应明确机构名称并提供资质证明。</w:t>
      </w:r>
    </w:p>
    <w:p w14:paraId="261E75A9">
      <w:pPr>
        <w:spacing w:after="40" w:line="312" w:lineRule="auto"/>
        <w:ind w:left="369"/>
      </w:pPr>
      <w:r>
        <w:rPr>
          <w:rFonts w:ascii="Times New Roman" w:hAnsi="Times New Roman" w:eastAsia="仿宋"/>
          <w:b w:val="0"/>
          <w:sz w:val="21"/>
        </w:rPr>
        <w:t>• 近三年内无重大安全、质量事故和严重失信记录，不接受挂靠、转包或违法分包。</w:t>
      </w:r>
    </w:p>
    <w:p w14:paraId="642A4AA5">
      <w:pPr>
        <w:keepNext/>
        <w:spacing w:before="200" w:after="100"/>
      </w:pPr>
      <w:r>
        <w:rPr>
          <w:rFonts w:ascii="Times New Roman" w:hAnsi="Times New Roman" w:eastAsia="黑体"/>
          <w:b/>
          <w:sz w:val="26"/>
        </w:rPr>
        <w:t>八、采购方式建议</w:t>
      </w:r>
    </w:p>
    <w:p w14:paraId="1C2491C0">
      <w:pPr>
        <w:spacing w:before="0" w:after="80" w:line="312" w:lineRule="auto"/>
      </w:pPr>
      <w:r>
        <w:rPr>
          <w:rFonts w:ascii="Times New Roman" w:hAnsi="Times New Roman" w:eastAsia="仿宋"/>
          <w:b w:val="0"/>
          <w:sz w:val="21"/>
        </w:rPr>
        <w:t>根据市卫健委关于政府采购工作内控制度的相关要求，预算1万至10万元的服务类项目应通过苏采云服务商城实施采购，可选用邀请比选（不少于3家）或公开比选。</w:t>
      </w:r>
    </w:p>
    <w:p w14:paraId="0175CB96">
      <w:pPr>
        <w:spacing w:before="60" w:after="80" w:line="312" w:lineRule="auto"/>
      </w:pPr>
      <w:r>
        <w:rPr>
          <w:rFonts w:ascii="Times New Roman" w:hAnsi="Times New Roman" w:eastAsia="仿宋"/>
          <w:b w:val="0"/>
          <w:sz w:val="21"/>
        </w:rPr>
        <w:t>建议采用邀请比选方式，在服务商城定向邀请不少于3家具备承装（修、试）电力设施许可证五级及以上资质的供应商参与比选，以最低成交价法确定成交供应商。</w:t>
      </w:r>
    </w:p>
    <w:p w14:paraId="254F3535">
      <w:pPr>
        <w:keepNext/>
        <w:spacing w:before="200" w:after="100"/>
      </w:pPr>
      <w:r>
        <w:rPr>
          <w:rFonts w:ascii="Times New Roman" w:hAnsi="Times New Roman" w:eastAsia="黑体"/>
          <w:b/>
          <w:sz w:val="26"/>
        </w:rPr>
        <w:t>九、双方主要责任及合同执行要求</w:t>
      </w:r>
    </w:p>
    <w:p w14:paraId="52BC9B5A">
      <w:pPr>
        <w:spacing w:before="0" w:after="80" w:line="312" w:lineRule="auto"/>
      </w:pPr>
      <w:r>
        <w:rPr>
          <w:rFonts w:ascii="Times New Roman" w:hAnsi="Times New Roman" w:eastAsia="仿宋"/>
          <w:b w:val="0"/>
          <w:sz w:val="21"/>
        </w:rPr>
        <w:t>根据历史电力设施维护协议，双方主要责任和执行要求补充如下：</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7767"/>
      </w:tblGrid>
      <w:tr w14:paraId="1FBC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shd w:val="clear" w:color="auto" w:fill="D9D9D9"/>
          </w:tcPr>
          <w:p w14:paraId="188BF41F">
            <w:pPr>
              <w:spacing w:after="0" w:line="240" w:lineRule="auto"/>
              <w:jc w:val="center"/>
            </w:pPr>
            <w:r>
              <w:rPr>
                <w:rFonts w:ascii="Times New Roman" w:hAnsi="Times New Roman" w:eastAsia="黑体"/>
                <w:b/>
                <w:sz w:val="18"/>
              </w:rPr>
              <w:t>责任方</w:t>
            </w:r>
          </w:p>
        </w:tc>
        <w:tc>
          <w:tcPr>
            <w:tcW w:w="7767" w:type="dxa"/>
            <w:shd w:val="clear" w:color="auto" w:fill="D9D9D9"/>
          </w:tcPr>
          <w:p w14:paraId="37BE39EE">
            <w:pPr>
              <w:spacing w:after="0" w:line="240" w:lineRule="auto"/>
              <w:jc w:val="center"/>
            </w:pPr>
            <w:r>
              <w:rPr>
                <w:rFonts w:ascii="Times New Roman" w:hAnsi="Times New Roman" w:eastAsia="黑体"/>
                <w:b/>
                <w:sz w:val="18"/>
              </w:rPr>
              <w:t>主要义务</w:t>
            </w:r>
          </w:p>
        </w:tc>
      </w:tr>
      <w:tr w14:paraId="0F92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tcPr>
          <w:p w14:paraId="08D1FD10">
            <w:pPr>
              <w:spacing w:after="0" w:line="276" w:lineRule="auto"/>
            </w:pPr>
            <w:r>
              <w:rPr>
                <w:rFonts w:ascii="Times New Roman" w:hAnsi="Times New Roman" w:eastAsia="仿宋"/>
                <w:b w:val="0"/>
                <w:sz w:val="18"/>
              </w:rPr>
              <w:t>甲方</w:t>
            </w:r>
          </w:p>
        </w:tc>
        <w:tc>
          <w:tcPr>
            <w:tcW w:w="7767" w:type="dxa"/>
          </w:tcPr>
          <w:p w14:paraId="359AFA6D">
            <w:pPr>
              <w:spacing w:after="0" w:line="276" w:lineRule="auto"/>
            </w:pPr>
            <w:r>
              <w:rPr>
                <w:rFonts w:ascii="Times New Roman" w:hAnsi="Times New Roman" w:eastAsia="仿宋"/>
                <w:b w:val="0"/>
                <w:sz w:val="18"/>
              </w:rPr>
              <w:t>1.按项目费用及支付条款及时支付服务费。2.制定维护计划，积极协调处理影响乙方维护工作的外部因素。</w:t>
            </w:r>
          </w:p>
        </w:tc>
      </w:tr>
      <w:tr w14:paraId="5ADE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tcPr>
          <w:p w14:paraId="2FA01802">
            <w:pPr>
              <w:spacing w:after="0" w:line="276" w:lineRule="auto"/>
            </w:pPr>
            <w:r>
              <w:rPr>
                <w:rFonts w:ascii="Times New Roman" w:hAnsi="Times New Roman" w:eastAsia="仿宋"/>
                <w:b w:val="0"/>
                <w:sz w:val="18"/>
              </w:rPr>
              <w:t>乙方</w:t>
            </w:r>
          </w:p>
        </w:tc>
        <w:tc>
          <w:tcPr>
            <w:tcW w:w="7767" w:type="dxa"/>
          </w:tcPr>
          <w:p w14:paraId="455AA537">
            <w:pPr>
              <w:spacing w:after="0" w:line="276" w:lineRule="auto"/>
            </w:pPr>
            <w:r>
              <w:rPr>
                <w:rFonts w:ascii="Times New Roman" w:hAnsi="Times New Roman" w:eastAsia="仿宋"/>
                <w:b w:val="0"/>
                <w:sz w:val="18"/>
              </w:rPr>
              <w:t>1.按照电力部门安全相关规定操作，保障作业安全。2.根据甲方维护计划，每月定期巡检、启动维护保养、做好卫生清理并形成巡检记录。3.负责与供电部门协调用电手续，包括保电申请等外部协调事宜。4.接到故障通知后，小型故障1小时内到场并修复，中型故障1小时内到场并在2小时内修复，大型故障或重要设备烧损半小时内到场并连续抢修。5.配合供电部门做好相关巡检工作。6.指派项目工作负责人并明确联系方式。</w:t>
            </w:r>
          </w:p>
        </w:tc>
      </w:tr>
    </w:tbl>
    <w:p w14:paraId="0E3DE01F">
      <w:pPr>
        <w:spacing w:after="40" w:line="312" w:lineRule="auto"/>
        <w:ind w:left="369"/>
      </w:pPr>
      <w:r>
        <w:rPr>
          <w:rFonts w:ascii="Times New Roman" w:hAnsi="Times New Roman" w:eastAsia="仿宋"/>
          <w:b w:val="0"/>
          <w:sz w:val="21"/>
        </w:rPr>
        <w:t>• 安全责任：维护作业时供应商应做好相应安全措施；采购人有权对安全文明施工进行监督。发生安全责任事故的，由供应商承担相应责任。</w:t>
      </w:r>
    </w:p>
    <w:p w14:paraId="7915F977">
      <w:pPr>
        <w:spacing w:after="40" w:line="312" w:lineRule="auto"/>
        <w:ind w:left="369"/>
      </w:pPr>
      <w:r>
        <w:rPr>
          <w:rFonts w:ascii="Times New Roman" w:hAnsi="Times New Roman" w:eastAsia="仿宋"/>
          <w:b w:val="0"/>
          <w:sz w:val="21"/>
        </w:rPr>
        <w:t>• 争议解决：双方首先协商解决；协商不成的，可向宿迁市合同仲裁委员会申请仲裁或按司法程序解决。正式采购文件中如另有约定，从其约定。</w:t>
      </w:r>
    </w:p>
    <w:p w14:paraId="6042C662">
      <w:pPr>
        <w:spacing w:after="40" w:line="312" w:lineRule="auto"/>
        <w:ind w:left="369"/>
      </w:pPr>
      <w:r>
        <w:rPr>
          <w:rFonts w:ascii="Times New Roman" w:hAnsi="Times New Roman" w:eastAsia="仿宋"/>
          <w:b w:val="0"/>
          <w:sz w:val="21"/>
        </w:rPr>
        <w:t>• 合同生效与终止：合同自双方签字盖章之日起生效，服务期满并完成全部验收后终止。</w:t>
      </w:r>
    </w:p>
    <w:p w14:paraId="79EFD319">
      <w:pPr>
        <w:spacing w:after="40" w:line="312" w:lineRule="auto"/>
        <w:ind w:left="369"/>
      </w:pPr>
      <w:r>
        <w:rPr>
          <w:rFonts w:ascii="Times New Roman" w:hAnsi="Times New Roman" w:eastAsia="仿宋"/>
          <w:b w:val="0"/>
          <w:sz w:val="21"/>
        </w:rPr>
        <w:t>• 合同未尽事宜由双方协商解决。</w:t>
      </w:r>
    </w:p>
    <w:p w14:paraId="636DD4D9">
      <w:pPr>
        <w:keepNext/>
        <w:spacing w:before="200" w:after="100"/>
      </w:pPr>
      <w:r>
        <w:rPr>
          <w:rFonts w:ascii="Times New Roman" w:hAnsi="Times New Roman" w:eastAsia="黑体"/>
          <w:b/>
          <w:sz w:val="26"/>
        </w:rPr>
        <w:t>十、发布前待确认事项</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2835"/>
        <w:gridCol w:w="5386"/>
      </w:tblGrid>
      <w:tr w14:paraId="5780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D9D9D9"/>
          </w:tcPr>
          <w:p w14:paraId="4279E5EE">
            <w:pPr>
              <w:spacing w:after="0" w:line="240" w:lineRule="auto"/>
              <w:jc w:val="center"/>
            </w:pPr>
            <w:r>
              <w:rPr>
                <w:rFonts w:ascii="Times New Roman" w:hAnsi="Times New Roman" w:eastAsia="黑体"/>
                <w:b/>
                <w:sz w:val="18"/>
              </w:rPr>
              <w:t>序号</w:t>
            </w:r>
          </w:p>
        </w:tc>
        <w:tc>
          <w:tcPr>
            <w:tcW w:w="2835" w:type="dxa"/>
            <w:shd w:val="clear" w:color="auto" w:fill="D9D9D9"/>
          </w:tcPr>
          <w:p w14:paraId="408D9365">
            <w:pPr>
              <w:spacing w:after="0" w:line="240" w:lineRule="auto"/>
              <w:jc w:val="center"/>
            </w:pPr>
            <w:r>
              <w:rPr>
                <w:rFonts w:ascii="Times New Roman" w:hAnsi="Times New Roman" w:eastAsia="黑体"/>
                <w:b/>
                <w:sz w:val="18"/>
              </w:rPr>
              <w:t>待确认事项</w:t>
            </w:r>
          </w:p>
        </w:tc>
        <w:tc>
          <w:tcPr>
            <w:tcW w:w="5386" w:type="dxa"/>
            <w:shd w:val="clear" w:color="auto" w:fill="D9D9D9"/>
          </w:tcPr>
          <w:p w14:paraId="289826CF">
            <w:pPr>
              <w:spacing w:after="0" w:line="240" w:lineRule="auto"/>
              <w:jc w:val="center"/>
            </w:pPr>
            <w:r>
              <w:rPr>
                <w:rFonts w:ascii="Times New Roman" w:hAnsi="Times New Roman" w:eastAsia="黑体"/>
                <w:b/>
                <w:sz w:val="18"/>
              </w:rPr>
              <w:t>建议处理方式</w:t>
            </w:r>
          </w:p>
        </w:tc>
      </w:tr>
      <w:tr w14:paraId="2735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667B925E">
            <w:pPr>
              <w:spacing w:after="0" w:line="276" w:lineRule="auto"/>
            </w:pPr>
            <w:r>
              <w:rPr>
                <w:rFonts w:ascii="Times New Roman" w:hAnsi="Times New Roman" w:eastAsia="仿宋"/>
                <w:b w:val="0"/>
                <w:sz w:val="18"/>
              </w:rPr>
              <w:t>1</w:t>
            </w:r>
          </w:p>
        </w:tc>
        <w:tc>
          <w:tcPr>
            <w:tcW w:w="2835" w:type="dxa"/>
          </w:tcPr>
          <w:p w14:paraId="718FC41F">
            <w:pPr>
              <w:spacing w:after="0" w:line="276" w:lineRule="auto"/>
            </w:pPr>
            <w:r>
              <w:rPr>
                <w:rFonts w:ascii="Times New Roman" w:hAnsi="Times New Roman" w:eastAsia="仿宋"/>
                <w:b w:val="0"/>
                <w:sz w:val="18"/>
              </w:rPr>
              <w:t>服务起止时间</w:t>
            </w:r>
          </w:p>
        </w:tc>
        <w:tc>
          <w:tcPr>
            <w:tcW w:w="5386" w:type="dxa"/>
          </w:tcPr>
          <w:p w14:paraId="52CF24CA">
            <w:pPr>
              <w:spacing w:after="0" w:line="276" w:lineRule="auto"/>
            </w:pPr>
            <w:r>
              <w:rPr>
                <w:rFonts w:ascii="Times New Roman" w:hAnsi="Times New Roman" w:eastAsia="仿宋"/>
                <w:b w:val="0"/>
                <w:sz w:val="18"/>
              </w:rPr>
              <w:t>发布前明确一年服务周期起止日期</w:t>
            </w:r>
          </w:p>
        </w:tc>
      </w:tr>
      <w:tr w14:paraId="6666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3C7BA59F">
            <w:pPr>
              <w:spacing w:after="0" w:line="276" w:lineRule="auto"/>
            </w:pPr>
            <w:r>
              <w:rPr>
                <w:rFonts w:ascii="Times New Roman" w:hAnsi="Times New Roman" w:eastAsia="仿宋"/>
                <w:b w:val="0"/>
                <w:sz w:val="18"/>
              </w:rPr>
              <w:t>2</w:t>
            </w:r>
          </w:p>
        </w:tc>
        <w:tc>
          <w:tcPr>
            <w:tcW w:w="2835" w:type="dxa"/>
          </w:tcPr>
          <w:p w14:paraId="339848AA">
            <w:pPr>
              <w:spacing w:after="0" w:line="276" w:lineRule="auto"/>
            </w:pPr>
            <w:r>
              <w:rPr>
                <w:rFonts w:ascii="Times New Roman" w:hAnsi="Times New Roman" w:eastAsia="仿宋"/>
                <w:b w:val="0"/>
                <w:sz w:val="18"/>
              </w:rPr>
              <w:t>安全工器具最终数量</w:t>
            </w:r>
          </w:p>
        </w:tc>
        <w:tc>
          <w:tcPr>
            <w:tcW w:w="5386" w:type="dxa"/>
          </w:tcPr>
          <w:p w14:paraId="31B1B4BE">
            <w:pPr>
              <w:spacing w:after="0" w:line="276" w:lineRule="auto"/>
            </w:pPr>
            <w:r>
              <w:rPr>
                <w:rFonts w:ascii="Times New Roman" w:hAnsi="Times New Roman" w:eastAsia="仿宋"/>
                <w:b w:val="0"/>
                <w:sz w:val="18"/>
              </w:rPr>
              <w:t>现场清点确认检测和补充采购数量，避免漏项</w:t>
            </w:r>
          </w:p>
        </w:tc>
      </w:tr>
      <w:tr w14:paraId="272B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7139C225">
            <w:pPr>
              <w:spacing w:after="0" w:line="276" w:lineRule="auto"/>
            </w:pPr>
            <w:r>
              <w:rPr>
                <w:rFonts w:ascii="Times New Roman" w:hAnsi="Times New Roman" w:eastAsia="仿宋"/>
                <w:b w:val="0"/>
                <w:sz w:val="18"/>
              </w:rPr>
              <w:t>3</w:t>
            </w:r>
          </w:p>
        </w:tc>
        <w:tc>
          <w:tcPr>
            <w:tcW w:w="2835" w:type="dxa"/>
          </w:tcPr>
          <w:p w14:paraId="6291D989">
            <w:pPr>
              <w:spacing w:after="0" w:line="276" w:lineRule="auto"/>
            </w:pPr>
            <w:r>
              <w:rPr>
                <w:rFonts w:ascii="Times New Roman" w:hAnsi="Times New Roman" w:eastAsia="仿宋"/>
                <w:b w:val="0"/>
                <w:sz w:val="18"/>
              </w:rPr>
              <w:t>是否统一组织现场踏勘</w:t>
            </w:r>
          </w:p>
        </w:tc>
        <w:tc>
          <w:tcPr>
            <w:tcW w:w="5386" w:type="dxa"/>
          </w:tcPr>
          <w:p w14:paraId="65F933AE">
            <w:pPr>
              <w:spacing w:after="0" w:line="276" w:lineRule="auto"/>
            </w:pPr>
            <w:r>
              <w:rPr>
                <w:rFonts w:ascii="Times New Roman" w:hAnsi="Times New Roman" w:eastAsia="仿宋"/>
                <w:b w:val="0"/>
                <w:sz w:val="18"/>
              </w:rPr>
              <w:t>建议组织，投标人未踏勘不免除履约责任</w:t>
            </w:r>
          </w:p>
        </w:tc>
      </w:tr>
      <w:tr w14:paraId="7758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1BF5FD7D">
            <w:pPr>
              <w:spacing w:after="0" w:line="276" w:lineRule="auto"/>
            </w:pPr>
            <w:r>
              <w:rPr>
                <w:rFonts w:ascii="Times New Roman" w:hAnsi="Times New Roman" w:eastAsia="仿宋"/>
                <w:b w:val="0"/>
                <w:sz w:val="18"/>
              </w:rPr>
              <w:t>4</w:t>
            </w:r>
          </w:p>
        </w:tc>
        <w:tc>
          <w:tcPr>
            <w:tcW w:w="2835" w:type="dxa"/>
          </w:tcPr>
          <w:p w14:paraId="3D813F6E">
            <w:pPr>
              <w:spacing w:after="0" w:line="276" w:lineRule="auto"/>
            </w:pPr>
            <w:r>
              <w:rPr>
                <w:rFonts w:ascii="Times New Roman" w:hAnsi="Times New Roman" w:eastAsia="仿宋"/>
                <w:b w:val="0"/>
                <w:sz w:val="18"/>
              </w:rPr>
              <w:t>付款节点及质保金</w:t>
            </w:r>
          </w:p>
        </w:tc>
        <w:tc>
          <w:tcPr>
            <w:tcW w:w="5386" w:type="dxa"/>
          </w:tcPr>
          <w:p w14:paraId="0673EC0D">
            <w:pPr>
              <w:spacing w:after="0" w:line="276" w:lineRule="auto"/>
            </w:pPr>
            <w:r>
              <w:rPr>
                <w:rFonts w:ascii="Times New Roman" w:hAnsi="Times New Roman" w:eastAsia="仿宋"/>
                <w:b w:val="0"/>
                <w:sz w:val="18"/>
              </w:rPr>
              <w:t>结合学校财务审批要求最终确定；建议按季度等额支付25%</w:t>
            </w:r>
          </w:p>
        </w:tc>
      </w:tr>
      <w:tr w14:paraId="3D9D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1A04F8FE">
            <w:pPr>
              <w:spacing w:after="0" w:line="276" w:lineRule="auto"/>
            </w:pPr>
            <w:r>
              <w:rPr>
                <w:rFonts w:ascii="Times New Roman" w:hAnsi="Times New Roman" w:eastAsia="仿宋"/>
                <w:b w:val="0"/>
                <w:sz w:val="18"/>
              </w:rPr>
              <w:t>5</w:t>
            </w:r>
          </w:p>
        </w:tc>
        <w:tc>
          <w:tcPr>
            <w:tcW w:w="2835" w:type="dxa"/>
          </w:tcPr>
          <w:p w14:paraId="71C70D6E">
            <w:pPr>
              <w:spacing w:after="0" w:line="276" w:lineRule="auto"/>
            </w:pPr>
            <w:r>
              <w:rPr>
                <w:rFonts w:ascii="Times New Roman" w:hAnsi="Times New Roman" w:eastAsia="仿宋"/>
                <w:b w:val="0"/>
                <w:sz w:val="18"/>
              </w:rPr>
              <w:t>发票类型及税率</w:t>
            </w:r>
          </w:p>
        </w:tc>
        <w:tc>
          <w:tcPr>
            <w:tcW w:w="5386" w:type="dxa"/>
          </w:tcPr>
          <w:p w14:paraId="2DEB88FA">
            <w:pPr>
              <w:spacing w:after="0" w:line="276" w:lineRule="auto"/>
            </w:pPr>
            <w:r>
              <w:rPr>
                <w:rFonts w:ascii="Times New Roman" w:hAnsi="Times New Roman" w:eastAsia="仿宋"/>
                <w:b w:val="0"/>
                <w:sz w:val="18"/>
              </w:rPr>
              <w:t>明确增值税专用发票、适用税率及含税报价口径</w:t>
            </w:r>
          </w:p>
        </w:tc>
      </w:tr>
      <w:tr w14:paraId="37D95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37E36A3F">
            <w:pPr>
              <w:spacing w:after="0" w:line="276" w:lineRule="auto"/>
            </w:pPr>
            <w:r>
              <w:rPr>
                <w:rFonts w:ascii="Times New Roman" w:hAnsi="Times New Roman" w:eastAsia="仿宋"/>
                <w:b w:val="0"/>
                <w:sz w:val="18"/>
              </w:rPr>
              <w:t>6</w:t>
            </w:r>
          </w:p>
        </w:tc>
        <w:tc>
          <w:tcPr>
            <w:tcW w:w="2835" w:type="dxa"/>
          </w:tcPr>
          <w:p w14:paraId="0B387888">
            <w:pPr>
              <w:spacing w:after="0" w:line="276" w:lineRule="auto"/>
            </w:pPr>
            <w:r>
              <w:rPr>
                <w:rFonts w:ascii="Times New Roman" w:hAnsi="Times New Roman" w:eastAsia="仿宋"/>
                <w:b w:val="0"/>
                <w:sz w:val="18"/>
              </w:rPr>
              <w:t>分项限价是否公布</w:t>
            </w:r>
          </w:p>
        </w:tc>
        <w:tc>
          <w:tcPr>
            <w:tcW w:w="5386" w:type="dxa"/>
          </w:tcPr>
          <w:p w14:paraId="7328224F">
            <w:pPr>
              <w:spacing w:after="0" w:line="276" w:lineRule="auto"/>
            </w:pPr>
            <w:r>
              <w:rPr>
                <w:rFonts w:ascii="Times New Roman" w:hAnsi="Times New Roman" w:eastAsia="仿宋"/>
                <w:b w:val="0"/>
                <w:sz w:val="18"/>
              </w:rPr>
              <w:t>建议仅公布总价最高限价2.6万元，分项作为评审参考</w:t>
            </w:r>
          </w:p>
        </w:tc>
      </w:tr>
    </w:tbl>
    <w:p w14:paraId="49278A13"/>
    <w:sectPr>
      <w:pgSz w:w="11906" w:h="16838"/>
      <w:pgMar w:top="1247" w:right="1134" w:bottom="1134" w:left="124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 w:name="Courier">
    <w:panose1 w:val="02060409020205020404"/>
    <w:charset w:val="00"/>
    <w:family w:val="auto"/>
    <w:pitch w:val="default"/>
    <w:sig w:usb0="00000007"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mMzYyYWU5OGVlZjEyNGQ3NzNiY2E4ZjAyN2E5YWQifQ=="/>
  </w:docVars>
  <w:rsids>
    <w:rsidRoot w:val="00B47730"/>
    <w:rsid w:val="00034616"/>
    <w:rsid w:val="0006063C"/>
    <w:rsid w:val="0015074B"/>
    <w:rsid w:val="0029639D"/>
    <w:rsid w:val="00326F90"/>
    <w:rsid w:val="00AA1D8D"/>
    <w:rsid w:val="00B47730"/>
    <w:rsid w:val="00CB0664"/>
    <w:rsid w:val="00FC693F"/>
    <w:rsid w:val="03977E2B"/>
    <w:rsid w:val="43A65D9D"/>
    <w:rsid w:val="4EDB5352"/>
    <w:rsid w:val="71A65D3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qFormat="1" w:unhideWhenUsed="0" w:uiPriority="70" w:semiHidden="0" w:name="Dark List"/>
    <w:lsdException w:unhideWhenUsed="0" w:uiPriority="71" w:semiHidden="0" w:name="Colorful Shading"/>
    <w:lsdException w:unhideWhenUsed="0" w:uiPriority="72" w:semiHidden="0" w:name="Colorful List"/>
    <w:lsdException w:qFormat="1"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qFormat="1" w:unhideWhenUsed="0" w:uiPriority="68" w:semiHidden="0" w:name="Medium Grid 2 Accent 1"/>
    <w:lsdException w:unhideWhenUsed="0" w:uiPriority="69" w:semiHidden="0" w:name="Medium Grid 3 Accent 1"/>
    <w:lsdException w:unhideWhenUsed="0" w:uiPriority="70" w:semiHidden="0" w:name="Dark List Accent 1"/>
    <w:lsdException w:qFormat="1" w:unhideWhenUsed="0" w:uiPriority="71" w:semiHidden="0" w:name="Colorful Shading Accent 1"/>
    <w:lsdException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unhideWhenUsed="0" w:uiPriority="62" w:semiHidden="0" w:name="Light Grid Accent 3"/>
    <w:lsdException w:qFormat="1"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qFormat="1" w:unhideWhenUsed="0" w:uiPriority="68" w:semiHidden="0" w:name="Medium Grid 2 Accent 5"/>
    <w:lsdException w:unhideWhenUsed="0" w:uiPriority="69" w:semiHidden="0" w:name="Medium Grid 3 Accent 5"/>
    <w:lsdException w:unhideWhenUsed="0" w:uiPriority="70" w:semiHidden="0" w:name="Dark List Accent 5"/>
    <w:lsdException w:qFormat="1"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unhideWhenUsed="0" w:uiPriority="63" w:semiHidden="0" w:name="Medium Shading 1 Accent 6"/>
    <w:lsdException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仿宋" w:cstheme="minorBidi"/>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1379</Words>
  <Characters>1419</Characters>
  <Lines>0</Lines>
  <Paragraphs>0</Paragraphs>
  <TotalTime>1418</TotalTime>
  <ScaleCrop>false</ScaleCrop>
  <LinksUpToDate>false</LinksUpToDate>
  <CharactersWithSpaces>1424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我的天呢！</cp:lastModifiedBy>
  <dcterms:modified xsi:type="dcterms:W3CDTF">2026-09-07T07:39:09Z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83DA773E53C24115A0723B82EA080C0F_12</vt:lpwstr>
  </property>
  <property fmtid="{D5CDD505-2E9C-101B-9397-08002B2CF9AE}" pid="4" name="KSOTemplateDocerSaveRecord">
    <vt:lpwstr>eyJoZGlkIjoiMTAyZWMxNzhjNjI0MzI0MTkyMmViMDhhMTQ5YmFhNzIiLCJ1c2VySWQiOiI0Mjk5MjA0NTkifQ==</vt:lpwstr>
  </property>
</Properties>
</file>